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9F233" w14:textId="334F7D48" w:rsidR="00B82E22" w:rsidRPr="003E074F" w:rsidRDefault="007163B9" w:rsidP="003E074F">
      <w:pPr>
        <w:jc w:val="center"/>
        <w:rPr>
          <w:sz w:val="36"/>
          <w:szCs w:val="36"/>
        </w:rPr>
      </w:pPr>
      <w:bookmarkStart w:id="0" w:name="_Hlk122007699"/>
      <w:r>
        <w:rPr>
          <w:sz w:val="36"/>
          <w:szCs w:val="36"/>
        </w:rPr>
        <w:t xml:space="preserve">  </w:t>
      </w:r>
      <w:r w:rsidR="36B20B4F" w:rsidRPr="003E074F">
        <w:rPr>
          <w:sz w:val="36"/>
          <w:szCs w:val="36"/>
        </w:rPr>
        <w:t>Confidential Business Information Claims under the Toxic Substances Control Act (TSCA); Final Rule</w:t>
      </w:r>
      <w:r w:rsidR="006F1BB3">
        <w:rPr>
          <w:sz w:val="36"/>
          <w:szCs w:val="36"/>
        </w:rPr>
        <w:t xml:space="preserve"> (RIN 2070-AK68)</w:t>
      </w:r>
    </w:p>
    <w:bookmarkEnd w:id="0"/>
    <w:p w14:paraId="386D3AA9" w14:textId="77777777" w:rsidR="00B82E22" w:rsidRPr="00C17EDE" w:rsidRDefault="00B82E22" w:rsidP="003E074F">
      <w:pPr>
        <w:jc w:val="center"/>
        <w:rPr>
          <w:rFonts w:asciiTheme="majorHAnsi" w:eastAsiaTheme="majorEastAsia" w:hAnsiTheme="majorHAnsi" w:cstheme="minorHAnsi"/>
          <w:b/>
          <w:smallCaps/>
          <w:color w:val="000000" w:themeColor="text1"/>
          <w:sz w:val="36"/>
          <w:szCs w:val="36"/>
        </w:rPr>
      </w:pPr>
      <w:r w:rsidRPr="003E074F">
        <w:rPr>
          <w:rFonts w:asciiTheme="majorHAnsi" w:eastAsiaTheme="majorEastAsia" w:hAnsiTheme="majorHAnsi" w:cstheme="minorHAnsi"/>
          <w:b/>
          <w:smallCaps/>
          <w:color w:val="000000" w:themeColor="text1"/>
          <w:sz w:val="36"/>
          <w:szCs w:val="36"/>
        </w:rPr>
        <w:t>Response to Comments Document</w:t>
      </w:r>
    </w:p>
    <w:p w14:paraId="51703EB6" w14:textId="6D5096DD" w:rsidR="00B82E22" w:rsidRPr="00C445D5" w:rsidRDefault="00D92ADA" w:rsidP="006F1BB3">
      <w:pPr>
        <w:jc w:val="center"/>
        <w:rPr>
          <w:rFonts w:cstheme="minorHAnsi"/>
          <w:sz w:val="24"/>
          <w:szCs w:val="24"/>
        </w:rPr>
      </w:pPr>
      <w:r>
        <w:rPr>
          <w:rFonts w:cstheme="minorHAnsi"/>
          <w:sz w:val="24"/>
          <w:szCs w:val="24"/>
        </w:rPr>
        <w:t>May</w:t>
      </w:r>
      <w:r w:rsidR="00D60EB7">
        <w:rPr>
          <w:rFonts w:cstheme="minorHAnsi"/>
          <w:sz w:val="24"/>
          <w:szCs w:val="24"/>
        </w:rPr>
        <w:t xml:space="preserve"> 2023</w:t>
      </w:r>
    </w:p>
    <w:p w14:paraId="5A22AA60" w14:textId="4104B4FC" w:rsidR="00B82E22" w:rsidRPr="00C445D5" w:rsidRDefault="00B82E22" w:rsidP="006A7558">
      <w:pPr>
        <w:rPr>
          <w:sz w:val="24"/>
          <w:szCs w:val="24"/>
        </w:rPr>
      </w:pPr>
      <w:r w:rsidRPr="04A909B4">
        <w:rPr>
          <w:sz w:val="24"/>
          <w:szCs w:val="24"/>
        </w:rPr>
        <w:t xml:space="preserve">On </w:t>
      </w:r>
      <w:r w:rsidR="0063578B" w:rsidRPr="04A909B4">
        <w:rPr>
          <w:sz w:val="24"/>
          <w:szCs w:val="24"/>
        </w:rPr>
        <w:t>May 1</w:t>
      </w:r>
      <w:r w:rsidR="00E24A5C" w:rsidRPr="04A909B4">
        <w:rPr>
          <w:sz w:val="24"/>
          <w:szCs w:val="24"/>
        </w:rPr>
        <w:t>2</w:t>
      </w:r>
      <w:r w:rsidRPr="04A909B4">
        <w:rPr>
          <w:sz w:val="24"/>
          <w:szCs w:val="24"/>
        </w:rPr>
        <w:t>, 202</w:t>
      </w:r>
      <w:r w:rsidR="00E24A5C" w:rsidRPr="04A909B4">
        <w:rPr>
          <w:sz w:val="24"/>
          <w:szCs w:val="24"/>
        </w:rPr>
        <w:t>2</w:t>
      </w:r>
      <w:r w:rsidRPr="04A909B4">
        <w:rPr>
          <w:sz w:val="24"/>
          <w:szCs w:val="24"/>
        </w:rPr>
        <w:t xml:space="preserve">, the Environmental Protection Agency’s Office of </w:t>
      </w:r>
      <w:r w:rsidR="0063578B" w:rsidRPr="04A909B4">
        <w:rPr>
          <w:sz w:val="24"/>
          <w:szCs w:val="24"/>
        </w:rPr>
        <w:t>Pollution Prevention and Toxics (OPPT) published a proposed ru</w:t>
      </w:r>
      <w:r w:rsidRPr="04A909B4">
        <w:rPr>
          <w:sz w:val="24"/>
          <w:szCs w:val="24"/>
        </w:rPr>
        <w:t xml:space="preserve">le entitled </w:t>
      </w:r>
      <w:r w:rsidR="0063578B" w:rsidRPr="04A909B4">
        <w:rPr>
          <w:sz w:val="24"/>
          <w:szCs w:val="24"/>
        </w:rPr>
        <w:t>“Confidential Business Information Claims under the Toxic Substances Control Act (TSCA)</w:t>
      </w:r>
      <w:r w:rsidRPr="04A909B4">
        <w:rPr>
          <w:sz w:val="24"/>
          <w:szCs w:val="24"/>
        </w:rPr>
        <w:t>”</w:t>
      </w:r>
      <w:r w:rsidR="00C14E29">
        <w:rPr>
          <w:sz w:val="24"/>
          <w:szCs w:val="24"/>
        </w:rPr>
        <w:t xml:space="preserve"> (87 FR 29078).</w:t>
      </w:r>
      <w:r w:rsidRPr="04A909B4">
        <w:rPr>
          <w:sz w:val="24"/>
          <w:szCs w:val="24"/>
        </w:rPr>
        <w:t xml:space="preserve"> The proposed rulemaking would </w:t>
      </w:r>
      <w:r w:rsidR="0063578B" w:rsidRPr="04A909B4">
        <w:rPr>
          <w:sz w:val="24"/>
          <w:szCs w:val="24"/>
        </w:rPr>
        <w:t xml:space="preserve">propose new and amended requirements concerning the assertion and treatment of confidential business information (CBI) claims for information reported to or otherwise obtained by EPA under the Toxic Substances Control Act (TSCA). Amendments to TSCA in 2016 </w:t>
      </w:r>
      <w:r w:rsidR="00CA2ADE" w:rsidRPr="04A909B4">
        <w:rPr>
          <w:sz w:val="24"/>
          <w:szCs w:val="24"/>
        </w:rPr>
        <w:t>(</w:t>
      </w:r>
      <w:r w:rsidR="05FBC1E7" w:rsidRPr="04A909B4">
        <w:rPr>
          <w:sz w:val="24"/>
          <w:szCs w:val="24"/>
        </w:rPr>
        <w:t xml:space="preserve">aka “the Lautenberg amendments” or </w:t>
      </w:r>
      <w:r w:rsidR="00CA2ADE" w:rsidRPr="04A909B4">
        <w:rPr>
          <w:sz w:val="24"/>
          <w:szCs w:val="24"/>
        </w:rPr>
        <w:t xml:space="preserve">“Lautenberg”) </w:t>
      </w:r>
      <w:r w:rsidR="0063578B" w:rsidRPr="04A909B4">
        <w:rPr>
          <w:sz w:val="24"/>
          <w:szCs w:val="24"/>
        </w:rPr>
        <w:t xml:space="preserve">included many new provisions concerning the assertion, Agency review, and treatment of confidentiality claims. This document proposes procedures for submitting such claims in TSCA submissions. It addresses issues such as substantiation requirements, exemptions, electronic reporting enhancements (including expanding electronic reporting requirements), maintenance or withdrawal of confidentiality claims, and provisions in </w:t>
      </w:r>
      <w:r w:rsidR="00633F4F">
        <w:rPr>
          <w:sz w:val="24"/>
          <w:szCs w:val="24"/>
        </w:rPr>
        <w:t>preexisting</w:t>
      </w:r>
      <w:r w:rsidR="00633F4F" w:rsidRPr="04A909B4">
        <w:rPr>
          <w:sz w:val="24"/>
          <w:szCs w:val="24"/>
        </w:rPr>
        <w:t xml:space="preserve"> </w:t>
      </w:r>
      <w:r w:rsidR="0063578B" w:rsidRPr="04A909B4">
        <w:rPr>
          <w:sz w:val="24"/>
          <w:szCs w:val="24"/>
        </w:rPr>
        <w:t>rules that are inconsistent with amended TSCA. The proposed rule also addresses EPA procedures for reviewing and communicating with TSCA submitters about confidentiality claims.</w:t>
      </w:r>
    </w:p>
    <w:p w14:paraId="349422CA" w14:textId="7F3CF674" w:rsidR="00B82E22" w:rsidRPr="00C445D5" w:rsidRDefault="00B82E22" w:rsidP="00B82E22">
      <w:pPr>
        <w:spacing w:after="0" w:line="240" w:lineRule="auto"/>
        <w:contextualSpacing/>
        <w:rPr>
          <w:rFonts w:eastAsia="Times New Roman" w:cstheme="minorHAnsi"/>
          <w:sz w:val="24"/>
          <w:szCs w:val="24"/>
        </w:rPr>
      </w:pPr>
      <w:r w:rsidRPr="00C445D5">
        <w:rPr>
          <w:rFonts w:eastAsia="Times New Roman" w:cstheme="minorHAnsi"/>
          <w:sz w:val="24"/>
          <w:szCs w:val="24"/>
        </w:rPr>
        <w:t>EPA received 1</w:t>
      </w:r>
      <w:r w:rsidR="00DA636A">
        <w:rPr>
          <w:rFonts w:eastAsia="Times New Roman" w:cstheme="minorHAnsi"/>
          <w:sz w:val="24"/>
          <w:szCs w:val="24"/>
        </w:rPr>
        <w:t>8</w:t>
      </w:r>
      <w:r w:rsidR="0063578B" w:rsidRPr="00C445D5">
        <w:rPr>
          <w:rFonts w:eastAsia="Times New Roman" w:cstheme="minorHAnsi"/>
          <w:sz w:val="24"/>
          <w:szCs w:val="24"/>
        </w:rPr>
        <w:t xml:space="preserve"> </w:t>
      </w:r>
      <w:r w:rsidRPr="00C445D5">
        <w:rPr>
          <w:rFonts w:eastAsia="Times New Roman" w:cstheme="minorHAnsi"/>
          <w:sz w:val="24"/>
          <w:szCs w:val="24"/>
        </w:rPr>
        <w:t>unique public comment</w:t>
      </w:r>
      <w:r w:rsidR="00F032A7">
        <w:rPr>
          <w:rFonts w:eastAsia="Times New Roman" w:cstheme="minorHAnsi"/>
          <w:sz w:val="24"/>
          <w:szCs w:val="24"/>
        </w:rPr>
        <w:t>s</w:t>
      </w:r>
      <w:r w:rsidRPr="00C445D5">
        <w:rPr>
          <w:rFonts w:eastAsia="Times New Roman" w:cstheme="minorHAnsi"/>
          <w:sz w:val="24"/>
          <w:szCs w:val="24"/>
        </w:rPr>
        <w:t xml:space="preserve"> on the proposal. These included comments from industry, non-governmental organizations, trade associations, consultants, and others. The public comments are available in Docket Number: </w:t>
      </w:r>
      <w:r w:rsidRPr="00C445D5">
        <w:rPr>
          <w:rFonts w:cstheme="minorHAnsi"/>
          <w:sz w:val="24"/>
          <w:szCs w:val="24"/>
        </w:rPr>
        <w:t>EPA-HQ-OPP</w:t>
      </w:r>
      <w:r w:rsidR="0063578B" w:rsidRPr="00C445D5">
        <w:rPr>
          <w:rFonts w:cstheme="minorHAnsi"/>
          <w:sz w:val="24"/>
          <w:szCs w:val="24"/>
        </w:rPr>
        <w:t>T</w:t>
      </w:r>
      <w:r w:rsidRPr="00C445D5">
        <w:rPr>
          <w:rFonts w:cstheme="minorHAnsi"/>
          <w:sz w:val="24"/>
          <w:szCs w:val="24"/>
        </w:rPr>
        <w:t>-202</w:t>
      </w:r>
      <w:r w:rsidR="0063578B" w:rsidRPr="00C445D5">
        <w:rPr>
          <w:rFonts w:cstheme="minorHAnsi"/>
          <w:sz w:val="24"/>
          <w:szCs w:val="24"/>
        </w:rPr>
        <w:t>1</w:t>
      </w:r>
      <w:r w:rsidRPr="00C445D5">
        <w:rPr>
          <w:rFonts w:cstheme="minorHAnsi"/>
          <w:sz w:val="24"/>
          <w:szCs w:val="24"/>
        </w:rPr>
        <w:t>-0</w:t>
      </w:r>
      <w:r w:rsidR="0063578B" w:rsidRPr="00C445D5">
        <w:rPr>
          <w:rFonts w:cstheme="minorHAnsi"/>
          <w:sz w:val="24"/>
          <w:szCs w:val="24"/>
        </w:rPr>
        <w:t>419</w:t>
      </w:r>
      <w:r w:rsidRPr="00C445D5">
        <w:rPr>
          <w:rFonts w:cstheme="minorHAnsi"/>
          <w:sz w:val="24"/>
          <w:szCs w:val="24"/>
        </w:rPr>
        <w:t xml:space="preserve">. </w:t>
      </w:r>
    </w:p>
    <w:p w14:paraId="32075D5A" w14:textId="77777777" w:rsidR="00B82E22" w:rsidRPr="00C445D5" w:rsidRDefault="00B82E22" w:rsidP="00B82E22">
      <w:pPr>
        <w:spacing w:after="0" w:line="240" w:lineRule="auto"/>
        <w:contextualSpacing/>
        <w:rPr>
          <w:rFonts w:eastAsia="Times New Roman" w:cstheme="minorHAnsi"/>
          <w:sz w:val="24"/>
          <w:szCs w:val="24"/>
        </w:rPr>
      </w:pPr>
    </w:p>
    <w:p w14:paraId="5F95017D" w14:textId="77777777" w:rsidR="00B82E22" w:rsidRPr="00C445D5" w:rsidRDefault="00B82E22" w:rsidP="00B82E22">
      <w:pPr>
        <w:spacing w:after="0" w:line="240" w:lineRule="auto"/>
        <w:contextualSpacing/>
        <w:rPr>
          <w:rFonts w:eastAsia="Times New Roman" w:cstheme="minorHAnsi"/>
          <w:sz w:val="24"/>
          <w:szCs w:val="24"/>
        </w:rPr>
      </w:pPr>
      <w:r w:rsidRPr="00C445D5">
        <w:rPr>
          <w:rFonts w:eastAsia="Times New Roman" w:cstheme="minorHAnsi"/>
          <w:sz w:val="24"/>
          <w:szCs w:val="24"/>
        </w:rPr>
        <w:t>The commenters (with docket identifier) included:</w:t>
      </w:r>
    </w:p>
    <w:p w14:paraId="57465B7D" w14:textId="3862A197" w:rsidR="007C7F75" w:rsidRPr="00C445D5" w:rsidRDefault="007C7F75" w:rsidP="00B82E22">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3M Company (Docket ID </w:t>
      </w:r>
      <w:r w:rsidRPr="00C445D5">
        <w:rPr>
          <w:rFonts w:cstheme="minorHAnsi"/>
          <w:sz w:val="24"/>
          <w:szCs w:val="24"/>
        </w:rPr>
        <w:t>EPA-HQ-OPPT-2021-0419-0046)</w:t>
      </w:r>
    </w:p>
    <w:p w14:paraId="7266F04C" w14:textId="0FA8BC24" w:rsidR="00B82E22" w:rsidRPr="00C445D5" w:rsidRDefault="0063578B" w:rsidP="00B82E22">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American Chemistry Council (ACC) </w:t>
      </w:r>
      <w:r w:rsidR="00B82E22" w:rsidRPr="00C445D5">
        <w:rPr>
          <w:rFonts w:eastAsia="Times New Roman" w:cstheme="minorHAnsi"/>
          <w:sz w:val="24"/>
          <w:szCs w:val="24"/>
        </w:rPr>
        <w:t>(Docket ID</w:t>
      </w:r>
      <w:r w:rsidRPr="00C445D5">
        <w:rPr>
          <w:rFonts w:cstheme="minorHAnsi"/>
          <w:sz w:val="24"/>
          <w:szCs w:val="24"/>
        </w:rPr>
        <w:t xml:space="preserve"> EPA-HQ-OPPT-2021-0419-</w:t>
      </w:r>
      <w:r w:rsidR="007C7F75" w:rsidRPr="00C445D5">
        <w:rPr>
          <w:rFonts w:cstheme="minorHAnsi"/>
          <w:sz w:val="24"/>
          <w:szCs w:val="24"/>
        </w:rPr>
        <w:t>0044</w:t>
      </w:r>
      <w:r w:rsidR="00B82E22" w:rsidRPr="00C445D5">
        <w:rPr>
          <w:rFonts w:eastAsia="Times New Roman" w:cstheme="minorHAnsi"/>
          <w:sz w:val="24"/>
          <w:szCs w:val="24"/>
        </w:rPr>
        <w:t>)</w:t>
      </w:r>
    </w:p>
    <w:p w14:paraId="19AD29B5" w14:textId="47B4289F" w:rsidR="008D26A3" w:rsidRPr="00C445D5" w:rsidRDefault="008D26A3" w:rsidP="00B82E22">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American Coatings Association (ACA) (Docket ID </w:t>
      </w:r>
      <w:r w:rsidRPr="00C445D5">
        <w:rPr>
          <w:rFonts w:cstheme="minorHAnsi"/>
          <w:sz w:val="24"/>
          <w:szCs w:val="24"/>
        </w:rPr>
        <w:t>EPA-HQ-OPPT-2021-0419-0054)</w:t>
      </w:r>
    </w:p>
    <w:p w14:paraId="4BB1B4C4" w14:textId="02651B17" w:rsidR="00DA636A" w:rsidRPr="00110938" w:rsidRDefault="007C7F75" w:rsidP="008D26A3">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American Fuel and Petrochemical Manufactures (Docket ID </w:t>
      </w:r>
      <w:r w:rsidRPr="00C445D5">
        <w:rPr>
          <w:rFonts w:cstheme="minorHAnsi"/>
          <w:sz w:val="24"/>
          <w:szCs w:val="24"/>
        </w:rPr>
        <w:t>EPA-HQ-OPPT-2021-0419-0052)</w:t>
      </w:r>
    </w:p>
    <w:p w14:paraId="7BCD05E9" w14:textId="540E5E84" w:rsidR="000A2F08" w:rsidRPr="00C445D5" w:rsidDel="00DA636A" w:rsidRDefault="000A2F08" w:rsidP="008D26A3">
      <w:pPr>
        <w:pStyle w:val="ListParagraph"/>
        <w:numPr>
          <w:ilvl w:val="0"/>
          <w:numId w:val="3"/>
        </w:numPr>
        <w:spacing w:after="0" w:line="240" w:lineRule="auto"/>
        <w:rPr>
          <w:rFonts w:eastAsia="Times New Roman" w:cstheme="minorHAnsi"/>
          <w:sz w:val="24"/>
          <w:szCs w:val="24"/>
        </w:rPr>
      </w:pPr>
      <w:r>
        <w:rPr>
          <w:rFonts w:cstheme="minorHAnsi"/>
          <w:sz w:val="24"/>
          <w:szCs w:val="24"/>
        </w:rPr>
        <w:t>American Petroleum Institute (API) (</w:t>
      </w:r>
      <w:r w:rsidRPr="00C445D5">
        <w:rPr>
          <w:rFonts w:eastAsia="Times New Roman" w:cstheme="minorHAnsi"/>
          <w:sz w:val="24"/>
          <w:szCs w:val="24"/>
        </w:rPr>
        <w:t xml:space="preserve">Docket ID </w:t>
      </w:r>
      <w:r w:rsidRPr="00C445D5">
        <w:rPr>
          <w:rFonts w:cstheme="minorHAnsi"/>
          <w:sz w:val="24"/>
          <w:szCs w:val="24"/>
        </w:rPr>
        <w:t>EPA-HQ-OPPT-2021-0419-00</w:t>
      </w:r>
      <w:r>
        <w:rPr>
          <w:rFonts w:cstheme="minorHAnsi"/>
          <w:sz w:val="24"/>
          <w:szCs w:val="24"/>
        </w:rPr>
        <w:t>45</w:t>
      </w:r>
      <w:r w:rsidRPr="00C445D5">
        <w:rPr>
          <w:rFonts w:cstheme="minorHAnsi"/>
          <w:sz w:val="24"/>
          <w:szCs w:val="24"/>
        </w:rPr>
        <w:t>)</w:t>
      </w:r>
    </w:p>
    <w:p w14:paraId="2088E692" w14:textId="4C9F1439" w:rsidR="0063578B" w:rsidRPr="00C445D5" w:rsidRDefault="0063578B" w:rsidP="00B82E22">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Anonymous (Docket ID </w:t>
      </w:r>
      <w:r w:rsidRPr="00C445D5">
        <w:rPr>
          <w:rFonts w:cstheme="minorHAnsi"/>
          <w:sz w:val="24"/>
          <w:szCs w:val="24"/>
        </w:rPr>
        <w:t>EPA-HQ-OPPT-2021-0419-0037</w:t>
      </w:r>
      <w:r w:rsidR="007C7F75" w:rsidRPr="00C445D5">
        <w:rPr>
          <w:rFonts w:cstheme="minorHAnsi"/>
          <w:sz w:val="24"/>
          <w:szCs w:val="24"/>
        </w:rPr>
        <w:t>)</w:t>
      </w:r>
    </w:p>
    <w:p w14:paraId="42DE9404" w14:textId="200AEF7B" w:rsidR="007C7F75" w:rsidRPr="00C445D5" w:rsidRDefault="007C7F75" w:rsidP="00B82E22">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Anonymous (Docket ID </w:t>
      </w:r>
      <w:r w:rsidRPr="00C445D5">
        <w:rPr>
          <w:rFonts w:cstheme="minorHAnsi"/>
          <w:sz w:val="24"/>
          <w:szCs w:val="24"/>
        </w:rPr>
        <w:t>EPA-HQ-OPPT-2021-0419-0025)</w:t>
      </w:r>
    </w:p>
    <w:p w14:paraId="5E91F4B5" w14:textId="4398D6D7" w:rsidR="008D26A3" w:rsidRPr="00C445D5" w:rsidRDefault="008D26A3" w:rsidP="00B82E22">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Association of State Drinking Water Administrators (ASDWA</w:t>
      </w:r>
      <w:proofErr w:type="gramStart"/>
      <w:r w:rsidRPr="00C445D5">
        <w:rPr>
          <w:rFonts w:eastAsia="Times New Roman" w:cstheme="minorHAnsi"/>
          <w:sz w:val="24"/>
          <w:szCs w:val="24"/>
        </w:rPr>
        <w:t>)(</w:t>
      </w:r>
      <w:proofErr w:type="gramEnd"/>
      <w:r w:rsidRPr="00C445D5">
        <w:rPr>
          <w:rFonts w:eastAsia="Times New Roman" w:cstheme="minorHAnsi"/>
          <w:sz w:val="24"/>
          <w:szCs w:val="24"/>
        </w:rPr>
        <w:t>Docket ID E</w:t>
      </w:r>
      <w:r w:rsidR="006A7558" w:rsidRPr="00C445D5">
        <w:rPr>
          <w:rFonts w:eastAsia="Times New Roman" w:cstheme="minorHAnsi"/>
          <w:sz w:val="24"/>
          <w:szCs w:val="24"/>
        </w:rPr>
        <w:t>PA</w:t>
      </w:r>
      <w:r w:rsidRPr="00C445D5">
        <w:rPr>
          <w:rFonts w:eastAsia="Times New Roman" w:cstheme="minorHAnsi"/>
          <w:sz w:val="24"/>
          <w:szCs w:val="24"/>
        </w:rPr>
        <w:t xml:space="preserve"> -HQ-OPPT-2021-0419-0043</w:t>
      </w:r>
      <w:r w:rsidR="00047F7A">
        <w:rPr>
          <w:rFonts w:eastAsia="Times New Roman" w:cstheme="minorHAnsi"/>
          <w:sz w:val="24"/>
          <w:szCs w:val="24"/>
        </w:rPr>
        <w:t>)</w:t>
      </w:r>
    </w:p>
    <w:p w14:paraId="08F313AB" w14:textId="525A58C9" w:rsidR="007C7F75" w:rsidRPr="00C445D5" w:rsidRDefault="008D26A3" w:rsidP="008D26A3">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Chemical Users Coalition (CUC) (Docket ID </w:t>
      </w:r>
      <w:r w:rsidRPr="00C445D5">
        <w:rPr>
          <w:rFonts w:cstheme="minorHAnsi"/>
          <w:sz w:val="24"/>
          <w:szCs w:val="24"/>
        </w:rPr>
        <w:t xml:space="preserve">EPA-HQ-OPPT-2021-0419-0041) </w:t>
      </w:r>
    </w:p>
    <w:p w14:paraId="70D8D4CF" w14:textId="1207D4A0" w:rsidR="007C7F75" w:rsidRPr="00C445D5" w:rsidRDefault="007C7F75" w:rsidP="00DA636A">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Earthjustice et al. (Docket ID </w:t>
      </w:r>
      <w:r w:rsidRPr="00C445D5">
        <w:rPr>
          <w:rFonts w:cstheme="minorHAnsi"/>
          <w:sz w:val="24"/>
          <w:szCs w:val="24"/>
        </w:rPr>
        <w:t>EPA-HQ-OPPT-2021-0419</w:t>
      </w:r>
      <w:r w:rsidR="00B6607E">
        <w:rPr>
          <w:rFonts w:cstheme="minorHAnsi"/>
          <w:sz w:val="24"/>
          <w:szCs w:val="24"/>
        </w:rPr>
        <w:t>-0049)</w:t>
      </w:r>
    </w:p>
    <w:p w14:paraId="7A774B8F" w14:textId="3ADDFA51" w:rsidR="0063578B" w:rsidRPr="00C445D5" w:rsidRDefault="0063578B" w:rsidP="00B82E22">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Environmental Defense Fund (Docket ID </w:t>
      </w:r>
      <w:r w:rsidRPr="00C445D5">
        <w:rPr>
          <w:rFonts w:cstheme="minorHAnsi"/>
          <w:sz w:val="24"/>
          <w:szCs w:val="24"/>
        </w:rPr>
        <w:t>EPA-HQ-OPPT-2021-0419-0026)</w:t>
      </w:r>
    </w:p>
    <w:p w14:paraId="36A294FF" w14:textId="3BA916BE" w:rsidR="007C7F75" w:rsidRPr="00C445D5" w:rsidRDefault="007C7F75" w:rsidP="00B82E22">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Environmental Defense Fund (Docket ID </w:t>
      </w:r>
      <w:r w:rsidRPr="00C445D5">
        <w:rPr>
          <w:rFonts w:cstheme="minorHAnsi"/>
          <w:sz w:val="24"/>
          <w:szCs w:val="24"/>
        </w:rPr>
        <w:t>EPA-HQ-OPPT-2021-0419-0050</w:t>
      </w:r>
    </w:p>
    <w:p w14:paraId="60DA5CED" w14:textId="462585A8" w:rsidR="007C7F75" w:rsidRPr="00C445D5" w:rsidRDefault="007C7F75" w:rsidP="00B82E22">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Environmental Protection Network (EP</w:t>
      </w:r>
      <w:r w:rsidR="006A7558" w:rsidRPr="00C445D5">
        <w:rPr>
          <w:rFonts w:eastAsia="Times New Roman" w:cstheme="minorHAnsi"/>
          <w:sz w:val="24"/>
          <w:szCs w:val="24"/>
        </w:rPr>
        <w:t>N</w:t>
      </w:r>
      <w:r w:rsidRPr="00C445D5">
        <w:rPr>
          <w:rFonts w:eastAsia="Times New Roman" w:cstheme="minorHAnsi"/>
          <w:sz w:val="24"/>
          <w:szCs w:val="24"/>
        </w:rPr>
        <w:t xml:space="preserve">) (Docket ID </w:t>
      </w:r>
      <w:r w:rsidRPr="00C445D5">
        <w:rPr>
          <w:rFonts w:cstheme="minorHAnsi"/>
          <w:sz w:val="24"/>
          <w:szCs w:val="24"/>
        </w:rPr>
        <w:t xml:space="preserve">EPA-HQ-OPPT-2021-0419-0042) </w:t>
      </w:r>
    </w:p>
    <w:p w14:paraId="0A7FCCB8" w14:textId="493E1F94" w:rsidR="007C7F75" w:rsidRPr="00C445D5" w:rsidRDefault="007C7F75" w:rsidP="00B82E22">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lastRenderedPageBreak/>
        <w:t xml:space="preserve">Fragrance Creators Association and Society of Chemical Manufacturers and Affiliates (SOCMA) (Docket ID </w:t>
      </w:r>
      <w:r w:rsidRPr="00C445D5">
        <w:rPr>
          <w:rFonts w:cstheme="minorHAnsi"/>
          <w:sz w:val="24"/>
          <w:szCs w:val="24"/>
        </w:rPr>
        <w:t xml:space="preserve">EPA-HQ-OPPT-2021-0419-0051) </w:t>
      </w:r>
      <w:r w:rsidRPr="00C445D5">
        <w:rPr>
          <w:rFonts w:eastAsia="Times New Roman" w:cstheme="minorHAnsi"/>
          <w:sz w:val="24"/>
          <w:szCs w:val="24"/>
        </w:rPr>
        <w:t xml:space="preserve"> </w:t>
      </w:r>
    </w:p>
    <w:p w14:paraId="79F8D012" w14:textId="77777777" w:rsidR="008D26A3" w:rsidRPr="00C445D5" w:rsidRDefault="008D26A3" w:rsidP="008D26A3">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Household &amp; Commercial Products Association (Docket ID </w:t>
      </w:r>
      <w:r w:rsidRPr="00C445D5">
        <w:rPr>
          <w:rFonts w:cstheme="minorHAnsi"/>
          <w:sz w:val="24"/>
          <w:szCs w:val="24"/>
        </w:rPr>
        <w:t>EPA-HQ-OPPT-2021-0419-0048)</w:t>
      </w:r>
    </w:p>
    <w:p w14:paraId="2443CBB3" w14:textId="77777777" w:rsidR="008D26A3" w:rsidRPr="00C445D5" w:rsidRDefault="008D26A3" w:rsidP="008D26A3">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National Association of Chemicals Distributors (NACD) (Docket ID </w:t>
      </w:r>
      <w:r w:rsidRPr="00C445D5">
        <w:rPr>
          <w:rFonts w:cstheme="minorHAnsi"/>
          <w:sz w:val="24"/>
          <w:szCs w:val="24"/>
        </w:rPr>
        <w:t xml:space="preserve">EPA-HQ-OPPT-2021-0419-0040) </w:t>
      </w:r>
    </w:p>
    <w:p w14:paraId="6F4E4475" w14:textId="22AFC068" w:rsidR="008D26A3" w:rsidRPr="000F68D4" w:rsidRDefault="006A7558" w:rsidP="00110938">
      <w:pPr>
        <w:pStyle w:val="ListParagraph"/>
        <w:numPr>
          <w:ilvl w:val="0"/>
          <w:numId w:val="3"/>
        </w:numPr>
        <w:spacing w:after="0" w:line="240" w:lineRule="auto"/>
        <w:rPr>
          <w:rFonts w:eastAsia="Times New Roman" w:cstheme="minorHAnsi"/>
          <w:sz w:val="24"/>
          <w:szCs w:val="24"/>
        </w:rPr>
      </w:pPr>
      <w:r w:rsidRPr="000F68D4">
        <w:rPr>
          <w:rFonts w:eastAsia="Times New Roman" w:cstheme="minorHAnsi"/>
          <w:sz w:val="24"/>
          <w:szCs w:val="24"/>
        </w:rPr>
        <w:t xml:space="preserve">Toxic Substances Control Act New Chemicals Coalition (TSCA NCC), n-methylpyrrolidone (NMP) </w:t>
      </w:r>
      <w:r w:rsidR="008D26A3" w:rsidRPr="000F68D4">
        <w:rPr>
          <w:rFonts w:eastAsia="Times New Roman" w:cstheme="minorHAnsi"/>
          <w:sz w:val="24"/>
          <w:szCs w:val="24"/>
        </w:rPr>
        <w:t xml:space="preserve">Producers Group and TDCE Consortium (Docket ID </w:t>
      </w:r>
      <w:r w:rsidR="008D26A3" w:rsidRPr="000F68D4">
        <w:rPr>
          <w:rFonts w:cstheme="minorHAnsi"/>
          <w:sz w:val="24"/>
          <w:szCs w:val="24"/>
        </w:rPr>
        <w:t>EPA-HQ-OPPT-2021-0419-00</w:t>
      </w:r>
      <w:r w:rsidRPr="000F68D4">
        <w:rPr>
          <w:rFonts w:cstheme="minorHAnsi"/>
          <w:sz w:val="24"/>
          <w:szCs w:val="24"/>
        </w:rPr>
        <w:t>53</w:t>
      </w:r>
      <w:r w:rsidR="008D26A3" w:rsidRPr="000F68D4">
        <w:rPr>
          <w:rFonts w:cstheme="minorHAnsi"/>
          <w:sz w:val="24"/>
          <w:szCs w:val="24"/>
        </w:rPr>
        <w:t>)</w:t>
      </w:r>
    </w:p>
    <w:p w14:paraId="54286FE3" w14:textId="5400FDFF" w:rsidR="007C7F75" w:rsidRPr="00463835" w:rsidRDefault="007C7F75" w:rsidP="00B82E22">
      <w:pPr>
        <w:pStyle w:val="ListParagraph"/>
        <w:numPr>
          <w:ilvl w:val="0"/>
          <w:numId w:val="3"/>
        </w:numPr>
        <w:spacing w:after="0" w:line="240" w:lineRule="auto"/>
        <w:rPr>
          <w:rFonts w:eastAsia="Times New Roman" w:cstheme="minorHAnsi"/>
          <w:sz w:val="24"/>
          <w:szCs w:val="24"/>
        </w:rPr>
      </w:pPr>
      <w:r w:rsidRPr="00C445D5">
        <w:rPr>
          <w:rFonts w:eastAsia="Times New Roman" w:cstheme="minorHAnsi"/>
          <w:sz w:val="24"/>
          <w:szCs w:val="24"/>
        </w:rPr>
        <w:t xml:space="preserve">U.S. Chamber of Commerce (Docket ID </w:t>
      </w:r>
      <w:r w:rsidRPr="00C445D5">
        <w:rPr>
          <w:rFonts w:cstheme="minorHAnsi"/>
          <w:sz w:val="24"/>
          <w:szCs w:val="24"/>
        </w:rPr>
        <w:t>EPA-HQ-OPPT-2021-0419-0047)</w:t>
      </w:r>
    </w:p>
    <w:p w14:paraId="08A7479A" w14:textId="77777777" w:rsidR="006A7558" w:rsidRPr="00C445D5" w:rsidRDefault="006A7558" w:rsidP="00425F0B">
      <w:pPr>
        <w:pStyle w:val="ListParagraph"/>
        <w:spacing w:after="0" w:line="240" w:lineRule="auto"/>
        <w:rPr>
          <w:rFonts w:eastAsia="Times New Roman" w:cstheme="minorHAnsi"/>
          <w:sz w:val="24"/>
          <w:szCs w:val="24"/>
        </w:rPr>
      </w:pPr>
    </w:p>
    <w:p w14:paraId="725DA95C" w14:textId="67B863B6" w:rsidR="00B82E22" w:rsidRPr="00C445D5" w:rsidRDefault="008D26A3" w:rsidP="00425F0B">
      <w:pPr>
        <w:rPr>
          <w:rFonts w:cstheme="minorHAnsi"/>
          <w:sz w:val="24"/>
          <w:szCs w:val="24"/>
        </w:rPr>
      </w:pPr>
      <w:r w:rsidRPr="00C445D5">
        <w:rPr>
          <w:rFonts w:cstheme="minorHAnsi"/>
          <w:sz w:val="24"/>
          <w:szCs w:val="24"/>
        </w:rPr>
        <w:t>E</w:t>
      </w:r>
      <w:r w:rsidR="00B82E22" w:rsidRPr="00C445D5">
        <w:rPr>
          <w:rFonts w:cstheme="minorHAnsi"/>
          <w:sz w:val="24"/>
          <w:szCs w:val="24"/>
        </w:rPr>
        <w:t>PA considered</w:t>
      </w:r>
      <w:r w:rsidR="00B82E22" w:rsidRPr="00C445D5" w:rsidDel="006C74D2">
        <w:rPr>
          <w:rFonts w:cstheme="minorHAnsi"/>
          <w:sz w:val="24"/>
          <w:szCs w:val="24"/>
        </w:rPr>
        <w:t xml:space="preserve"> </w:t>
      </w:r>
      <w:r w:rsidR="00B82E22" w:rsidRPr="00C445D5">
        <w:rPr>
          <w:rFonts w:cstheme="minorHAnsi"/>
          <w:sz w:val="24"/>
          <w:szCs w:val="24"/>
        </w:rPr>
        <w:t>the public comments during the development of a final rule entitled, “</w:t>
      </w:r>
      <w:r w:rsidR="0063578B" w:rsidRPr="00C445D5">
        <w:rPr>
          <w:rFonts w:cstheme="minorHAnsi"/>
          <w:sz w:val="24"/>
          <w:szCs w:val="24"/>
        </w:rPr>
        <w:t>Confidential Business Information Claims under the Toxic Substances Control Act (TSCA)</w:t>
      </w:r>
      <w:r w:rsidR="00B82E22" w:rsidRPr="00C445D5">
        <w:rPr>
          <w:rFonts w:cstheme="minorHAnsi"/>
          <w:sz w:val="24"/>
          <w:szCs w:val="24"/>
        </w:rPr>
        <w:t xml:space="preserve">.” In several instances, EPA </w:t>
      </w:r>
      <w:proofErr w:type="gramStart"/>
      <w:r w:rsidR="00B82E22" w:rsidRPr="00C445D5">
        <w:rPr>
          <w:rFonts w:cstheme="minorHAnsi"/>
          <w:sz w:val="24"/>
          <w:szCs w:val="24"/>
        </w:rPr>
        <w:t>made adjustments to</w:t>
      </w:r>
      <w:proofErr w:type="gramEnd"/>
      <w:r w:rsidR="00B82E22" w:rsidRPr="00C445D5">
        <w:rPr>
          <w:rFonts w:cstheme="minorHAnsi"/>
          <w:sz w:val="24"/>
          <w:szCs w:val="24"/>
        </w:rPr>
        <w:t xml:space="preserve"> the provisions of the rule based on feedback from public comments. Unit</w:t>
      </w:r>
      <w:r w:rsidRPr="00C445D5">
        <w:rPr>
          <w:rFonts w:cstheme="minorHAnsi"/>
          <w:sz w:val="24"/>
          <w:szCs w:val="24"/>
        </w:rPr>
        <w:t xml:space="preserve"> III.</w:t>
      </w:r>
      <w:r w:rsidR="0063578B" w:rsidRPr="00C445D5">
        <w:rPr>
          <w:rFonts w:cstheme="minorHAnsi"/>
          <w:sz w:val="24"/>
          <w:szCs w:val="24"/>
        </w:rPr>
        <w:t xml:space="preserve"> </w:t>
      </w:r>
      <w:r w:rsidR="00B82E22" w:rsidRPr="00C445D5">
        <w:rPr>
          <w:rFonts w:cstheme="minorHAnsi"/>
          <w:sz w:val="24"/>
          <w:szCs w:val="24"/>
        </w:rPr>
        <w:t xml:space="preserve">of the preamble of the final rule provides a description of how EPA considered public comments and the changes that were made to the final rule. This Response to Comments Document supplements the discussion in Unit </w:t>
      </w:r>
      <w:r w:rsidRPr="00C445D5">
        <w:rPr>
          <w:rFonts w:cstheme="minorHAnsi"/>
          <w:sz w:val="24"/>
          <w:szCs w:val="24"/>
        </w:rPr>
        <w:t xml:space="preserve">III. </w:t>
      </w:r>
      <w:r w:rsidR="00B82E22" w:rsidRPr="00C445D5">
        <w:rPr>
          <w:rFonts w:cstheme="minorHAnsi"/>
          <w:sz w:val="24"/>
          <w:szCs w:val="24"/>
        </w:rPr>
        <w:t xml:space="preserve">of the preamble to the final rule. This document does not always cross-reference each response with each commenter(s) who raised a particular issue. However, in many cases where commenters provided particularly detailed comments that were used to frame EPA’s overall response on an issue, those individual comments are paraphrased. The responses presented in this document are intended to augment discussion that appears in the preamble to the final rule. Although portions of the preamble to the final rule are paraphrased in this document, to the extent such paraphrasing introduces any confusion or apparent inconsistency, the preamble itself remains the definitive statement of the rationale for the provisions included in the final rule. </w:t>
      </w:r>
    </w:p>
    <w:p w14:paraId="0E372FAD" w14:textId="0427C07E" w:rsidR="00B82E22" w:rsidRPr="00C445D5" w:rsidRDefault="00B82E22" w:rsidP="00B82E22">
      <w:pPr>
        <w:pStyle w:val="CommentText"/>
        <w:rPr>
          <w:rFonts w:cstheme="minorHAnsi"/>
          <w:sz w:val="24"/>
          <w:szCs w:val="24"/>
        </w:rPr>
      </w:pPr>
      <w:r w:rsidRPr="00C445D5">
        <w:rPr>
          <w:rFonts w:cstheme="minorHAnsi"/>
          <w:sz w:val="24"/>
          <w:szCs w:val="24"/>
        </w:rPr>
        <w:t>For this Response to Comments Document, EPA has only addressed comments directly applicable to the final rulemaking. Comments that were out-of-scope of the rulemaking were noted but not addressed in the document and may be used by EPA in developing science policies, revising the guidelines, or future rulemakings, as appropriate.</w:t>
      </w:r>
    </w:p>
    <w:p w14:paraId="762CC00F" w14:textId="77777777" w:rsidR="00B82E22" w:rsidRPr="00C445D5" w:rsidRDefault="00B82E22" w:rsidP="00B82E22">
      <w:pPr>
        <w:spacing w:after="0" w:line="240" w:lineRule="auto"/>
        <w:contextualSpacing/>
        <w:rPr>
          <w:rFonts w:eastAsia="Times New Roman" w:cstheme="minorHAnsi"/>
          <w:sz w:val="24"/>
          <w:szCs w:val="24"/>
        </w:rPr>
      </w:pPr>
      <w:r w:rsidRPr="00C445D5">
        <w:rPr>
          <w:rFonts w:eastAsia="Times New Roman" w:cstheme="minorHAnsi"/>
          <w:sz w:val="24"/>
          <w:szCs w:val="24"/>
        </w:rPr>
        <w:t xml:space="preserve">This Response to Comments Document is organized into the following topic areas: </w:t>
      </w:r>
    </w:p>
    <w:sdt>
      <w:sdtPr>
        <w:rPr>
          <w:rFonts w:asciiTheme="minorHAnsi" w:eastAsiaTheme="minorHAnsi" w:hAnsiTheme="minorHAnsi" w:cstheme="minorBidi"/>
          <w:color w:val="auto"/>
          <w:sz w:val="22"/>
          <w:szCs w:val="22"/>
        </w:rPr>
        <w:id w:val="-1229839382"/>
        <w:docPartObj>
          <w:docPartGallery w:val="Table of Contents"/>
          <w:docPartUnique/>
        </w:docPartObj>
      </w:sdtPr>
      <w:sdtEndPr>
        <w:rPr>
          <w:b/>
          <w:bCs/>
          <w:noProof/>
        </w:rPr>
      </w:sdtEndPr>
      <w:sdtContent>
        <w:p w14:paraId="72888CE9" w14:textId="094A9C4B" w:rsidR="00365572" w:rsidRDefault="00365572">
          <w:pPr>
            <w:pStyle w:val="TOCHeading"/>
          </w:pPr>
          <w:r>
            <w:t>Contents</w:t>
          </w:r>
        </w:p>
        <w:p w14:paraId="6A1D65BD" w14:textId="1AC481CA" w:rsidR="002A2F7C" w:rsidRDefault="00365572" w:rsidP="002A2F7C">
          <w:pPr>
            <w:pStyle w:val="TOC2"/>
            <w:rPr>
              <w:rFonts w:eastAsiaTheme="minorEastAsia"/>
              <w:noProof/>
            </w:rPr>
          </w:pPr>
          <w:r>
            <w:fldChar w:fldCharType="begin"/>
          </w:r>
          <w:r>
            <w:instrText xml:space="preserve"> TOC \o "1-3" \h \z \u </w:instrText>
          </w:r>
          <w:r>
            <w:fldChar w:fldCharType="separate"/>
          </w:r>
          <w:hyperlink w:anchor="_Toc132901179" w:history="1">
            <w:r w:rsidR="002A2F7C" w:rsidRPr="00E43020">
              <w:rPr>
                <w:rStyle w:val="Hyperlink"/>
                <w:noProof/>
              </w:rPr>
              <w:t>Unit 1: General Comments</w:t>
            </w:r>
            <w:r w:rsidR="002A2F7C">
              <w:rPr>
                <w:noProof/>
                <w:webHidden/>
              </w:rPr>
              <w:tab/>
            </w:r>
            <w:r w:rsidR="002A2F7C">
              <w:rPr>
                <w:noProof/>
                <w:webHidden/>
              </w:rPr>
              <w:fldChar w:fldCharType="begin"/>
            </w:r>
            <w:r w:rsidR="002A2F7C">
              <w:rPr>
                <w:noProof/>
                <w:webHidden/>
              </w:rPr>
              <w:instrText xml:space="preserve"> PAGEREF _Toc132901179 \h </w:instrText>
            </w:r>
            <w:r w:rsidR="002A2F7C">
              <w:rPr>
                <w:noProof/>
                <w:webHidden/>
              </w:rPr>
            </w:r>
            <w:r w:rsidR="002A2F7C">
              <w:rPr>
                <w:noProof/>
                <w:webHidden/>
              </w:rPr>
              <w:fldChar w:fldCharType="separate"/>
            </w:r>
            <w:r w:rsidR="002A2F7C">
              <w:rPr>
                <w:noProof/>
                <w:webHidden/>
              </w:rPr>
              <w:t>4</w:t>
            </w:r>
            <w:r w:rsidR="002A2F7C">
              <w:rPr>
                <w:noProof/>
                <w:webHidden/>
              </w:rPr>
              <w:fldChar w:fldCharType="end"/>
            </w:r>
          </w:hyperlink>
        </w:p>
        <w:p w14:paraId="04D4F914" w14:textId="0F6246D2" w:rsidR="002A2F7C" w:rsidRDefault="00E170C6" w:rsidP="002A2F7C">
          <w:pPr>
            <w:pStyle w:val="TOC2"/>
            <w:rPr>
              <w:rFonts w:eastAsiaTheme="minorEastAsia"/>
              <w:noProof/>
            </w:rPr>
          </w:pPr>
          <w:hyperlink w:anchor="_Toc132901180" w:history="1">
            <w:r w:rsidR="002A2F7C" w:rsidRPr="00E43020">
              <w:rPr>
                <w:rStyle w:val="Hyperlink"/>
                <w:noProof/>
              </w:rPr>
              <w:t>Unit 2: TSCA Section 14(d) Disclosures and Notice Requirements</w:t>
            </w:r>
            <w:r w:rsidR="002A2F7C">
              <w:rPr>
                <w:noProof/>
                <w:webHidden/>
              </w:rPr>
              <w:tab/>
            </w:r>
            <w:r w:rsidR="002A2F7C">
              <w:rPr>
                <w:noProof/>
                <w:webHidden/>
              </w:rPr>
              <w:fldChar w:fldCharType="begin"/>
            </w:r>
            <w:r w:rsidR="002A2F7C">
              <w:rPr>
                <w:noProof/>
                <w:webHidden/>
              </w:rPr>
              <w:instrText xml:space="preserve"> PAGEREF _Toc132901180 \h </w:instrText>
            </w:r>
            <w:r w:rsidR="002A2F7C">
              <w:rPr>
                <w:noProof/>
                <w:webHidden/>
              </w:rPr>
            </w:r>
            <w:r w:rsidR="002A2F7C">
              <w:rPr>
                <w:noProof/>
                <w:webHidden/>
              </w:rPr>
              <w:fldChar w:fldCharType="separate"/>
            </w:r>
            <w:r w:rsidR="002A2F7C">
              <w:rPr>
                <w:noProof/>
                <w:webHidden/>
              </w:rPr>
              <w:t>5</w:t>
            </w:r>
            <w:r w:rsidR="002A2F7C">
              <w:rPr>
                <w:noProof/>
                <w:webHidden/>
              </w:rPr>
              <w:fldChar w:fldCharType="end"/>
            </w:r>
          </w:hyperlink>
        </w:p>
        <w:p w14:paraId="79641994" w14:textId="6CB4865A" w:rsidR="002A2F7C" w:rsidRDefault="00E170C6" w:rsidP="002A2F7C">
          <w:pPr>
            <w:pStyle w:val="TOC2"/>
            <w:rPr>
              <w:rFonts w:eastAsiaTheme="minorEastAsia"/>
              <w:noProof/>
            </w:rPr>
          </w:pPr>
          <w:hyperlink w:anchor="_Toc132901181" w:history="1">
            <w:r w:rsidR="002A2F7C" w:rsidRPr="00E43020">
              <w:rPr>
                <w:rStyle w:val="Hyperlink"/>
                <w:noProof/>
              </w:rPr>
              <w:t>Unit 3. Obtained under TSCA and resolution of conflicts (40 CFR 703.1)</w:t>
            </w:r>
            <w:r w:rsidR="002A2F7C">
              <w:rPr>
                <w:noProof/>
                <w:webHidden/>
              </w:rPr>
              <w:tab/>
            </w:r>
            <w:r w:rsidR="002A2F7C">
              <w:rPr>
                <w:noProof/>
                <w:webHidden/>
              </w:rPr>
              <w:fldChar w:fldCharType="begin"/>
            </w:r>
            <w:r w:rsidR="002A2F7C">
              <w:rPr>
                <w:noProof/>
                <w:webHidden/>
              </w:rPr>
              <w:instrText xml:space="preserve"> PAGEREF _Toc132901181 \h </w:instrText>
            </w:r>
            <w:r w:rsidR="002A2F7C">
              <w:rPr>
                <w:noProof/>
                <w:webHidden/>
              </w:rPr>
            </w:r>
            <w:r w:rsidR="002A2F7C">
              <w:rPr>
                <w:noProof/>
                <w:webHidden/>
              </w:rPr>
              <w:fldChar w:fldCharType="separate"/>
            </w:r>
            <w:r w:rsidR="002A2F7C">
              <w:rPr>
                <w:noProof/>
                <w:webHidden/>
              </w:rPr>
              <w:t>6</w:t>
            </w:r>
            <w:r w:rsidR="002A2F7C">
              <w:rPr>
                <w:noProof/>
                <w:webHidden/>
              </w:rPr>
              <w:fldChar w:fldCharType="end"/>
            </w:r>
          </w:hyperlink>
        </w:p>
        <w:p w14:paraId="10362E24" w14:textId="040B1D3E" w:rsidR="002A2F7C" w:rsidRDefault="00E170C6" w:rsidP="002A2F7C">
          <w:pPr>
            <w:pStyle w:val="TOC2"/>
            <w:rPr>
              <w:rFonts w:eastAsiaTheme="minorEastAsia"/>
              <w:noProof/>
            </w:rPr>
          </w:pPr>
          <w:hyperlink w:anchor="_Toc132901182" w:history="1">
            <w:r w:rsidR="002A2F7C" w:rsidRPr="00E43020">
              <w:rPr>
                <w:rStyle w:val="Hyperlink"/>
                <w:noProof/>
              </w:rPr>
              <w:t>Unit 4: Health and safety study (40 CFR 703.3; definitions)</w:t>
            </w:r>
            <w:r w:rsidR="002A2F7C">
              <w:rPr>
                <w:noProof/>
                <w:webHidden/>
              </w:rPr>
              <w:tab/>
            </w:r>
            <w:r w:rsidR="002A2F7C">
              <w:rPr>
                <w:noProof/>
                <w:webHidden/>
              </w:rPr>
              <w:fldChar w:fldCharType="begin"/>
            </w:r>
            <w:r w:rsidR="002A2F7C">
              <w:rPr>
                <w:noProof/>
                <w:webHidden/>
              </w:rPr>
              <w:instrText xml:space="preserve"> PAGEREF _Toc132901182 \h </w:instrText>
            </w:r>
            <w:r w:rsidR="002A2F7C">
              <w:rPr>
                <w:noProof/>
                <w:webHidden/>
              </w:rPr>
            </w:r>
            <w:r w:rsidR="002A2F7C">
              <w:rPr>
                <w:noProof/>
                <w:webHidden/>
              </w:rPr>
              <w:fldChar w:fldCharType="separate"/>
            </w:r>
            <w:r w:rsidR="002A2F7C">
              <w:rPr>
                <w:noProof/>
                <w:webHidden/>
              </w:rPr>
              <w:t>12</w:t>
            </w:r>
            <w:r w:rsidR="002A2F7C">
              <w:rPr>
                <w:noProof/>
                <w:webHidden/>
              </w:rPr>
              <w:fldChar w:fldCharType="end"/>
            </w:r>
          </w:hyperlink>
        </w:p>
        <w:p w14:paraId="0994D9CC" w14:textId="3E2833F1" w:rsidR="002A2F7C" w:rsidRDefault="00E170C6" w:rsidP="002A2F7C">
          <w:pPr>
            <w:pStyle w:val="TOC2"/>
            <w:rPr>
              <w:rFonts w:eastAsiaTheme="minorEastAsia"/>
              <w:noProof/>
            </w:rPr>
          </w:pPr>
          <w:hyperlink w:anchor="_Toc132901183" w:history="1">
            <w:r w:rsidR="002A2F7C" w:rsidRPr="00E43020">
              <w:rPr>
                <w:rStyle w:val="Hyperlink"/>
                <w:noProof/>
              </w:rPr>
              <w:t>Unit 5: Requirement to assert claims at the time of submission; knowledge of chemical identity (40 CFR 703.5)</w:t>
            </w:r>
            <w:r w:rsidR="002A2F7C">
              <w:rPr>
                <w:noProof/>
                <w:webHidden/>
              </w:rPr>
              <w:tab/>
            </w:r>
            <w:r w:rsidR="002A2F7C">
              <w:rPr>
                <w:noProof/>
                <w:webHidden/>
              </w:rPr>
              <w:fldChar w:fldCharType="begin"/>
            </w:r>
            <w:r w:rsidR="002A2F7C">
              <w:rPr>
                <w:noProof/>
                <w:webHidden/>
              </w:rPr>
              <w:instrText xml:space="preserve"> PAGEREF _Toc132901183 \h </w:instrText>
            </w:r>
            <w:r w:rsidR="002A2F7C">
              <w:rPr>
                <w:noProof/>
                <w:webHidden/>
              </w:rPr>
            </w:r>
            <w:r w:rsidR="002A2F7C">
              <w:rPr>
                <w:noProof/>
                <w:webHidden/>
              </w:rPr>
              <w:fldChar w:fldCharType="separate"/>
            </w:r>
            <w:r w:rsidR="002A2F7C">
              <w:rPr>
                <w:noProof/>
                <w:webHidden/>
              </w:rPr>
              <w:t>15</w:t>
            </w:r>
            <w:r w:rsidR="002A2F7C">
              <w:rPr>
                <w:noProof/>
                <w:webHidden/>
              </w:rPr>
              <w:fldChar w:fldCharType="end"/>
            </w:r>
          </w:hyperlink>
        </w:p>
        <w:p w14:paraId="2E741BDC" w14:textId="6F4A34B9" w:rsidR="002A2F7C" w:rsidRDefault="00E170C6" w:rsidP="002A2F7C">
          <w:pPr>
            <w:pStyle w:val="TOC2"/>
            <w:rPr>
              <w:rFonts w:eastAsiaTheme="minorEastAsia"/>
              <w:noProof/>
            </w:rPr>
          </w:pPr>
          <w:hyperlink w:anchor="_Toc132901184" w:history="1">
            <w:r w:rsidR="002A2F7C" w:rsidRPr="00E43020">
              <w:rPr>
                <w:rStyle w:val="Hyperlink"/>
                <w:noProof/>
              </w:rPr>
              <w:t>Unit 6: Providing substantiation and substantiation questions (40 CFR 703.5(b))</w:t>
            </w:r>
            <w:r w:rsidR="002A2F7C">
              <w:rPr>
                <w:noProof/>
                <w:webHidden/>
              </w:rPr>
              <w:tab/>
            </w:r>
            <w:r w:rsidR="002A2F7C">
              <w:rPr>
                <w:noProof/>
                <w:webHidden/>
              </w:rPr>
              <w:fldChar w:fldCharType="begin"/>
            </w:r>
            <w:r w:rsidR="002A2F7C">
              <w:rPr>
                <w:noProof/>
                <w:webHidden/>
              </w:rPr>
              <w:instrText xml:space="preserve"> PAGEREF _Toc132901184 \h </w:instrText>
            </w:r>
            <w:r w:rsidR="002A2F7C">
              <w:rPr>
                <w:noProof/>
                <w:webHidden/>
              </w:rPr>
            </w:r>
            <w:r w:rsidR="002A2F7C">
              <w:rPr>
                <w:noProof/>
                <w:webHidden/>
              </w:rPr>
              <w:fldChar w:fldCharType="separate"/>
            </w:r>
            <w:r w:rsidR="002A2F7C">
              <w:rPr>
                <w:noProof/>
                <w:webHidden/>
              </w:rPr>
              <w:t>20</w:t>
            </w:r>
            <w:r w:rsidR="002A2F7C">
              <w:rPr>
                <w:noProof/>
                <w:webHidden/>
              </w:rPr>
              <w:fldChar w:fldCharType="end"/>
            </w:r>
          </w:hyperlink>
        </w:p>
        <w:p w14:paraId="375D9BF7" w14:textId="601B456C" w:rsidR="002A2F7C" w:rsidRDefault="00E170C6" w:rsidP="002A2F7C">
          <w:pPr>
            <w:pStyle w:val="TOC2"/>
            <w:rPr>
              <w:rFonts w:eastAsiaTheme="minorEastAsia"/>
              <w:noProof/>
            </w:rPr>
          </w:pPr>
          <w:hyperlink w:anchor="_Toc132901185" w:history="1">
            <w:r w:rsidR="002A2F7C" w:rsidRPr="00E43020">
              <w:rPr>
                <w:rStyle w:val="Hyperlink"/>
                <w:noProof/>
              </w:rPr>
              <w:t>Unit 7: Substantiation exemptions under TSCA 14(c)(2)</w:t>
            </w:r>
            <w:r w:rsidR="002A2F7C">
              <w:rPr>
                <w:noProof/>
                <w:webHidden/>
              </w:rPr>
              <w:tab/>
            </w:r>
            <w:r w:rsidR="002A2F7C">
              <w:rPr>
                <w:noProof/>
                <w:webHidden/>
              </w:rPr>
              <w:fldChar w:fldCharType="begin"/>
            </w:r>
            <w:r w:rsidR="002A2F7C">
              <w:rPr>
                <w:noProof/>
                <w:webHidden/>
              </w:rPr>
              <w:instrText xml:space="preserve"> PAGEREF _Toc132901185 \h </w:instrText>
            </w:r>
            <w:r w:rsidR="002A2F7C">
              <w:rPr>
                <w:noProof/>
                <w:webHidden/>
              </w:rPr>
            </w:r>
            <w:r w:rsidR="002A2F7C">
              <w:rPr>
                <w:noProof/>
                <w:webHidden/>
              </w:rPr>
              <w:fldChar w:fldCharType="separate"/>
            </w:r>
            <w:r w:rsidR="002A2F7C">
              <w:rPr>
                <w:noProof/>
                <w:webHidden/>
              </w:rPr>
              <w:t>27</w:t>
            </w:r>
            <w:r w:rsidR="002A2F7C">
              <w:rPr>
                <w:noProof/>
                <w:webHidden/>
              </w:rPr>
              <w:fldChar w:fldCharType="end"/>
            </w:r>
          </w:hyperlink>
        </w:p>
        <w:p w14:paraId="1D3532CA" w14:textId="56CFDCFA" w:rsidR="002A2F7C" w:rsidRDefault="00E170C6" w:rsidP="002A2F7C">
          <w:pPr>
            <w:pStyle w:val="TOC2"/>
            <w:rPr>
              <w:rFonts w:eastAsiaTheme="minorEastAsia"/>
              <w:noProof/>
            </w:rPr>
          </w:pPr>
          <w:hyperlink w:anchor="_Toc132901186" w:history="1">
            <w:r w:rsidR="002A2F7C" w:rsidRPr="00E43020">
              <w:rPr>
                <w:rStyle w:val="Hyperlink"/>
                <w:noProof/>
              </w:rPr>
              <w:t>Unit 8: Public Copies (40 CFR 703.5(c))</w:t>
            </w:r>
            <w:r w:rsidR="002A2F7C">
              <w:rPr>
                <w:noProof/>
                <w:webHidden/>
              </w:rPr>
              <w:tab/>
            </w:r>
            <w:r w:rsidR="002A2F7C">
              <w:rPr>
                <w:noProof/>
                <w:webHidden/>
              </w:rPr>
              <w:fldChar w:fldCharType="begin"/>
            </w:r>
            <w:r w:rsidR="002A2F7C">
              <w:rPr>
                <w:noProof/>
                <w:webHidden/>
              </w:rPr>
              <w:instrText xml:space="preserve"> PAGEREF _Toc132901186 \h </w:instrText>
            </w:r>
            <w:r w:rsidR="002A2F7C">
              <w:rPr>
                <w:noProof/>
                <w:webHidden/>
              </w:rPr>
            </w:r>
            <w:r w:rsidR="002A2F7C">
              <w:rPr>
                <w:noProof/>
                <w:webHidden/>
              </w:rPr>
              <w:fldChar w:fldCharType="separate"/>
            </w:r>
            <w:r w:rsidR="002A2F7C">
              <w:rPr>
                <w:noProof/>
                <w:webHidden/>
              </w:rPr>
              <w:t>29</w:t>
            </w:r>
            <w:r w:rsidR="002A2F7C">
              <w:rPr>
                <w:noProof/>
                <w:webHidden/>
              </w:rPr>
              <w:fldChar w:fldCharType="end"/>
            </w:r>
          </w:hyperlink>
        </w:p>
        <w:p w14:paraId="1CEA43FB" w14:textId="030A56BC" w:rsidR="002A2F7C" w:rsidRDefault="00E170C6" w:rsidP="002A2F7C">
          <w:pPr>
            <w:pStyle w:val="TOC2"/>
            <w:rPr>
              <w:rFonts w:eastAsiaTheme="minorEastAsia"/>
              <w:noProof/>
            </w:rPr>
          </w:pPr>
          <w:hyperlink w:anchor="_Toc132901187" w:history="1">
            <w:r w:rsidR="002A2F7C" w:rsidRPr="00E43020">
              <w:rPr>
                <w:rStyle w:val="Hyperlink"/>
                <w:noProof/>
              </w:rPr>
              <w:t>Unit 9: Generic Names (40 CFR 703.5(d))</w:t>
            </w:r>
            <w:r w:rsidR="002A2F7C">
              <w:rPr>
                <w:noProof/>
                <w:webHidden/>
              </w:rPr>
              <w:tab/>
            </w:r>
            <w:r w:rsidR="002A2F7C">
              <w:rPr>
                <w:noProof/>
                <w:webHidden/>
              </w:rPr>
              <w:fldChar w:fldCharType="begin"/>
            </w:r>
            <w:r w:rsidR="002A2F7C">
              <w:rPr>
                <w:noProof/>
                <w:webHidden/>
              </w:rPr>
              <w:instrText xml:space="preserve"> PAGEREF _Toc132901187 \h </w:instrText>
            </w:r>
            <w:r w:rsidR="002A2F7C">
              <w:rPr>
                <w:noProof/>
                <w:webHidden/>
              </w:rPr>
            </w:r>
            <w:r w:rsidR="002A2F7C">
              <w:rPr>
                <w:noProof/>
                <w:webHidden/>
              </w:rPr>
              <w:fldChar w:fldCharType="separate"/>
            </w:r>
            <w:r w:rsidR="002A2F7C">
              <w:rPr>
                <w:noProof/>
                <w:webHidden/>
              </w:rPr>
              <w:t>30</w:t>
            </w:r>
            <w:r w:rsidR="002A2F7C">
              <w:rPr>
                <w:noProof/>
                <w:webHidden/>
              </w:rPr>
              <w:fldChar w:fldCharType="end"/>
            </w:r>
          </w:hyperlink>
        </w:p>
        <w:p w14:paraId="623EAA6E" w14:textId="26C0801D" w:rsidR="002A2F7C" w:rsidRDefault="00E170C6" w:rsidP="002A2F7C">
          <w:pPr>
            <w:pStyle w:val="TOC2"/>
            <w:rPr>
              <w:rFonts w:eastAsiaTheme="minorEastAsia"/>
              <w:noProof/>
            </w:rPr>
          </w:pPr>
          <w:hyperlink w:anchor="_Toc132901188" w:history="1">
            <w:r w:rsidR="002A2F7C" w:rsidRPr="00E43020">
              <w:rPr>
                <w:rStyle w:val="Hyperlink"/>
                <w:noProof/>
              </w:rPr>
              <w:t>Unit 10: Deficient Claims (40 CFR 703.5(e))</w:t>
            </w:r>
            <w:r w:rsidR="002A2F7C">
              <w:rPr>
                <w:noProof/>
                <w:webHidden/>
              </w:rPr>
              <w:tab/>
            </w:r>
            <w:r w:rsidR="002A2F7C">
              <w:rPr>
                <w:noProof/>
                <w:webHidden/>
              </w:rPr>
              <w:fldChar w:fldCharType="begin"/>
            </w:r>
            <w:r w:rsidR="002A2F7C">
              <w:rPr>
                <w:noProof/>
                <w:webHidden/>
              </w:rPr>
              <w:instrText xml:space="preserve"> PAGEREF _Toc132901188 \h </w:instrText>
            </w:r>
            <w:r w:rsidR="002A2F7C">
              <w:rPr>
                <w:noProof/>
                <w:webHidden/>
              </w:rPr>
            </w:r>
            <w:r w:rsidR="002A2F7C">
              <w:rPr>
                <w:noProof/>
                <w:webHidden/>
              </w:rPr>
              <w:fldChar w:fldCharType="separate"/>
            </w:r>
            <w:r w:rsidR="002A2F7C">
              <w:rPr>
                <w:noProof/>
                <w:webHidden/>
              </w:rPr>
              <w:t>33</w:t>
            </w:r>
            <w:r w:rsidR="002A2F7C">
              <w:rPr>
                <w:noProof/>
                <w:webHidden/>
              </w:rPr>
              <w:fldChar w:fldCharType="end"/>
            </w:r>
          </w:hyperlink>
        </w:p>
        <w:p w14:paraId="191D2B49" w14:textId="1B1ACE29" w:rsidR="002A2F7C" w:rsidRDefault="00E170C6" w:rsidP="002A2F7C">
          <w:pPr>
            <w:pStyle w:val="TOC2"/>
            <w:rPr>
              <w:rFonts w:eastAsiaTheme="minorEastAsia"/>
              <w:noProof/>
            </w:rPr>
          </w:pPr>
          <w:hyperlink w:anchor="_Toc132901189" w:history="1">
            <w:r w:rsidR="002A2F7C" w:rsidRPr="00E43020">
              <w:rPr>
                <w:rStyle w:val="Hyperlink"/>
                <w:noProof/>
              </w:rPr>
              <w:t>Unit 11: Electronic Reporting (40 CFR 703.5(f))</w:t>
            </w:r>
            <w:r w:rsidR="002A2F7C">
              <w:rPr>
                <w:noProof/>
                <w:webHidden/>
              </w:rPr>
              <w:tab/>
            </w:r>
            <w:r w:rsidR="002A2F7C">
              <w:rPr>
                <w:noProof/>
                <w:webHidden/>
              </w:rPr>
              <w:fldChar w:fldCharType="begin"/>
            </w:r>
            <w:r w:rsidR="002A2F7C">
              <w:rPr>
                <w:noProof/>
                <w:webHidden/>
              </w:rPr>
              <w:instrText xml:space="preserve"> PAGEREF _Toc132901189 \h </w:instrText>
            </w:r>
            <w:r w:rsidR="002A2F7C">
              <w:rPr>
                <w:noProof/>
                <w:webHidden/>
              </w:rPr>
            </w:r>
            <w:r w:rsidR="002A2F7C">
              <w:rPr>
                <w:noProof/>
                <w:webHidden/>
              </w:rPr>
              <w:fldChar w:fldCharType="separate"/>
            </w:r>
            <w:r w:rsidR="002A2F7C">
              <w:rPr>
                <w:noProof/>
                <w:webHidden/>
              </w:rPr>
              <w:t>37</w:t>
            </w:r>
            <w:r w:rsidR="002A2F7C">
              <w:rPr>
                <w:noProof/>
                <w:webHidden/>
              </w:rPr>
              <w:fldChar w:fldCharType="end"/>
            </w:r>
          </w:hyperlink>
        </w:p>
        <w:p w14:paraId="0F124386" w14:textId="7DB8A72C" w:rsidR="002A2F7C" w:rsidRDefault="00E170C6" w:rsidP="002A2F7C">
          <w:pPr>
            <w:pStyle w:val="TOC2"/>
            <w:rPr>
              <w:rFonts w:eastAsiaTheme="minorEastAsia"/>
              <w:noProof/>
            </w:rPr>
          </w:pPr>
          <w:hyperlink w:anchor="_Toc132901190" w:history="1">
            <w:r w:rsidR="002A2F7C" w:rsidRPr="00E43020">
              <w:rPr>
                <w:rStyle w:val="Hyperlink"/>
                <w:noProof/>
              </w:rPr>
              <w:t>Unit 12: OECD Templates (40 CFR 703.5(g))</w:t>
            </w:r>
            <w:r w:rsidR="002A2F7C">
              <w:rPr>
                <w:noProof/>
                <w:webHidden/>
              </w:rPr>
              <w:tab/>
            </w:r>
            <w:r w:rsidR="002A2F7C">
              <w:rPr>
                <w:noProof/>
                <w:webHidden/>
              </w:rPr>
              <w:fldChar w:fldCharType="begin"/>
            </w:r>
            <w:r w:rsidR="002A2F7C">
              <w:rPr>
                <w:noProof/>
                <w:webHidden/>
              </w:rPr>
              <w:instrText xml:space="preserve"> PAGEREF _Toc132901190 \h </w:instrText>
            </w:r>
            <w:r w:rsidR="002A2F7C">
              <w:rPr>
                <w:noProof/>
                <w:webHidden/>
              </w:rPr>
            </w:r>
            <w:r w:rsidR="002A2F7C">
              <w:rPr>
                <w:noProof/>
                <w:webHidden/>
              </w:rPr>
              <w:fldChar w:fldCharType="separate"/>
            </w:r>
            <w:r w:rsidR="002A2F7C">
              <w:rPr>
                <w:noProof/>
                <w:webHidden/>
              </w:rPr>
              <w:t>38</w:t>
            </w:r>
            <w:r w:rsidR="002A2F7C">
              <w:rPr>
                <w:noProof/>
                <w:webHidden/>
              </w:rPr>
              <w:fldChar w:fldCharType="end"/>
            </w:r>
          </w:hyperlink>
        </w:p>
        <w:p w14:paraId="4AB52167" w14:textId="4948F258" w:rsidR="002A2F7C" w:rsidRDefault="00E170C6" w:rsidP="002A2F7C">
          <w:pPr>
            <w:pStyle w:val="TOC2"/>
            <w:rPr>
              <w:rFonts w:eastAsiaTheme="minorEastAsia"/>
              <w:noProof/>
            </w:rPr>
          </w:pPr>
          <w:hyperlink w:anchor="_Toc132901191" w:history="1">
            <w:r w:rsidR="002A2F7C" w:rsidRPr="00E43020">
              <w:rPr>
                <w:rStyle w:val="Hyperlink"/>
                <w:noProof/>
              </w:rPr>
              <w:t>Unit 13: Contact Information and Electronic Notices (40 CFR 703.5(h))</w:t>
            </w:r>
            <w:r w:rsidR="002A2F7C">
              <w:rPr>
                <w:noProof/>
                <w:webHidden/>
              </w:rPr>
              <w:tab/>
            </w:r>
            <w:r w:rsidR="002A2F7C">
              <w:rPr>
                <w:noProof/>
                <w:webHidden/>
              </w:rPr>
              <w:fldChar w:fldCharType="begin"/>
            </w:r>
            <w:r w:rsidR="002A2F7C">
              <w:rPr>
                <w:noProof/>
                <w:webHidden/>
              </w:rPr>
              <w:instrText xml:space="preserve"> PAGEREF _Toc132901191 \h </w:instrText>
            </w:r>
            <w:r w:rsidR="002A2F7C">
              <w:rPr>
                <w:noProof/>
                <w:webHidden/>
              </w:rPr>
            </w:r>
            <w:r w:rsidR="002A2F7C">
              <w:rPr>
                <w:noProof/>
                <w:webHidden/>
              </w:rPr>
              <w:fldChar w:fldCharType="separate"/>
            </w:r>
            <w:r w:rsidR="002A2F7C">
              <w:rPr>
                <w:noProof/>
                <w:webHidden/>
              </w:rPr>
              <w:t>38</w:t>
            </w:r>
            <w:r w:rsidR="002A2F7C">
              <w:rPr>
                <w:noProof/>
                <w:webHidden/>
              </w:rPr>
              <w:fldChar w:fldCharType="end"/>
            </w:r>
          </w:hyperlink>
        </w:p>
        <w:p w14:paraId="21CF4F53" w14:textId="5BF0ED78" w:rsidR="002A2F7C" w:rsidRDefault="00E170C6" w:rsidP="002A2F7C">
          <w:pPr>
            <w:pStyle w:val="TOC2"/>
            <w:rPr>
              <w:rFonts w:eastAsiaTheme="minorEastAsia"/>
              <w:noProof/>
            </w:rPr>
          </w:pPr>
          <w:hyperlink w:anchor="_Toc132901192" w:history="1">
            <w:r w:rsidR="002A2F7C" w:rsidRPr="00E43020">
              <w:rPr>
                <w:rStyle w:val="Hyperlink"/>
                <w:noProof/>
              </w:rPr>
              <w:t>Unit 14: Amending Public Copies (40 CFR 703.5(j))</w:t>
            </w:r>
            <w:r w:rsidR="002A2F7C">
              <w:rPr>
                <w:noProof/>
                <w:webHidden/>
              </w:rPr>
              <w:tab/>
            </w:r>
            <w:r w:rsidR="002A2F7C">
              <w:rPr>
                <w:noProof/>
                <w:webHidden/>
              </w:rPr>
              <w:fldChar w:fldCharType="begin"/>
            </w:r>
            <w:r w:rsidR="002A2F7C">
              <w:rPr>
                <w:noProof/>
                <w:webHidden/>
              </w:rPr>
              <w:instrText xml:space="preserve"> PAGEREF _Toc132901192 \h </w:instrText>
            </w:r>
            <w:r w:rsidR="002A2F7C">
              <w:rPr>
                <w:noProof/>
                <w:webHidden/>
              </w:rPr>
            </w:r>
            <w:r w:rsidR="002A2F7C">
              <w:rPr>
                <w:noProof/>
                <w:webHidden/>
              </w:rPr>
              <w:fldChar w:fldCharType="separate"/>
            </w:r>
            <w:r w:rsidR="002A2F7C">
              <w:rPr>
                <w:noProof/>
                <w:webHidden/>
              </w:rPr>
              <w:t>40</w:t>
            </w:r>
            <w:r w:rsidR="002A2F7C">
              <w:rPr>
                <w:noProof/>
                <w:webHidden/>
              </w:rPr>
              <w:fldChar w:fldCharType="end"/>
            </w:r>
          </w:hyperlink>
        </w:p>
        <w:p w14:paraId="2922F400" w14:textId="600CBBF6" w:rsidR="002A2F7C" w:rsidRDefault="00E170C6" w:rsidP="002A2F7C">
          <w:pPr>
            <w:pStyle w:val="TOC2"/>
            <w:rPr>
              <w:rFonts w:eastAsiaTheme="minorEastAsia"/>
              <w:noProof/>
            </w:rPr>
          </w:pPr>
          <w:hyperlink w:anchor="_Toc132901193" w:history="1">
            <w:r w:rsidR="002A2F7C" w:rsidRPr="00E43020">
              <w:rPr>
                <w:rStyle w:val="Hyperlink"/>
                <w:noProof/>
              </w:rPr>
              <w:t>Unit 15: EPA Review under 14(g) (40 CFR 703.7)</w:t>
            </w:r>
            <w:r w:rsidR="002A2F7C">
              <w:rPr>
                <w:noProof/>
                <w:webHidden/>
              </w:rPr>
              <w:tab/>
            </w:r>
            <w:r w:rsidR="002A2F7C">
              <w:rPr>
                <w:noProof/>
                <w:webHidden/>
              </w:rPr>
              <w:fldChar w:fldCharType="begin"/>
            </w:r>
            <w:r w:rsidR="002A2F7C">
              <w:rPr>
                <w:noProof/>
                <w:webHidden/>
              </w:rPr>
              <w:instrText xml:space="preserve"> PAGEREF _Toc132901193 \h </w:instrText>
            </w:r>
            <w:r w:rsidR="002A2F7C">
              <w:rPr>
                <w:noProof/>
                <w:webHidden/>
              </w:rPr>
            </w:r>
            <w:r w:rsidR="002A2F7C">
              <w:rPr>
                <w:noProof/>
                <w:webHidden/>
              </w:rPr>
              <w:fldChar w:fldCharType="separate"/>
            </w:r>
            <w:r w:rsidR="002A2F7C">
              <w:rPr>
                <w:noProof/>
                <w:webHidden/>
              </w:rPr>
              <w:t>41</w:t>
            </w:r>
            <w:r w:rsidR="002A2F7C">
              <w:rPr>
                <w:noProof/>
                <w:webHidden/>
              </w:rPr>
              <w:fldChar w:fldCharType="end"/>
            </w:r>
          </w:hyperlink>
        </w:p>
        <w:p w14:paraId="3CF77D77" w14:textId="4131A47A" w:rsidR="002A2F7C" w:rsidRDefault="00E170C6" w:rsidP="002A2F7C">
          <w:pPr>
            <w:pStyle w:val="TOC2"/>
            <w:rPr>
              <w:rFonts w:eastAsiaTheme="minorEastAsia"/>
              <w:noProof/>
            </w:rPr>
          </w:pPr>
          <w:hyperlink w:anchor="_Toc132901194" w:history="1">
            <w:r w:rsidR="002A2F7C" w:rsidRPr="00E43020">
              <w:rPr>
                <w:rStyle w:val="Hyperlink"/>
                <w:noProof/>
              </w:rPr>
              <w:t>Unit 16: Representative Subset of Case Selection (40 CFR 703.7(a))</w:t>
            </w:r>
            <w:r w:rsidR="002A2F7C">
              <w:rPr>
                <w:noProof/>
                <w:webHidden/>
              </w:rPr>
              <w:tab/>
            </w:r>
            <w:r w:rsidR="002A2F7C">
              <w:rPr>
                <w:noProof/>
                <w:webHidden/>
              </w:rPr>
              <w:fldChar w:fldCharType="begin"/>
            </w:r>
            <w:r w:rsidR="002A2F7C">
              <w:rPr>
                <w:noProof/>
                <w:webHidden/>
              </w:rPr>
              <w:instrText xml:space="preserve"> PAGEREF _Toc132901194 \h </w:instrText>
            </w:r>
            <w:r w:rsidR="002A2F7C">
              <w:rPr>
                <w:noProof/>
                <w:webHidden/>
              </w:rPr>
            </w:r>
            <w:r w:rsidR="002A2F7C">
              <w:rPr>
                <w:noProof/>
                <w:webHidden/>
              </w:rPr>
              <w:fldChar w:fldCharType="separate"/>
            </w:r>
            <w:r w:rsidR="002A2F7C">
              <w:rPr>
                <w:noProof/>
                <w:webHidden/>
              </w:rPr>
              <w:t>41</w:t>
            </w:r>
            <w:r w:rsidR="002A2F7C">
              <w:rPr>
                <w:noProof/>
                <w:webHidden/>
              </w:rPr>
              <w:fldChar w:fldCharType="end"/>
            </w:r>
          </w:hyperlink>
        </w:p>
        <w:p w14:paraId="7D95136C" w14:textId="1C4CAD8F" w:rsidR="002A2F7C" w:rsidRDefault="00E170C6" w:rsidP="002A2F7C">
          <w:pPr>
            <w:pStyle w:val="TOC2"/>
            <w:rPr>
              <w:rFonts w:eastAsiaTheme="minorEastAsia"/>
              <w:noProof/>
            </w:rPr>
          </w:pPr>
          <w:hyperlink w:anchor="_Toc132901195" w:history="1">
            <w:r w:rsidR="002A2F7C" w:rsidRPr="00E43020">
              <w:rPr>
                <w:rStyle w:val="Hyperlink"/>
                <w:noProof/>
              </w:rPr>
              <w:t>Unit 17: Review Period/Effect of Amendments (40 CFR 703.7(c))</w:t>
            </w:r>
            <w:r w:rsidR="002A2F7C">
              <w:rPr>
                <w:noProof/>
                <w:webHidden/>
              </w:rPr>
              <w:tab/>
            </w:r>
            <w:r w:rsidR="002A2F7C">
              <w:rPr>
                <w:noProof/>
                <w:webHidden/>
              </w:rPr>
              <w:fldChar w:fldCharType="begin"/>
            </w:r>
            <w:r w:rsidR="002A2F7C">
              <w:rPr>
                <w:noProof/>
                <w:webHidden/>
              </w:rPr>
              <w:instrText xml:space="preserve"> PAGEREF _Toc132901195 \h </w:instrText>
            </w:r>
            <w:r w:rsidR="002A2F7C">
              <w:rPr>
                <w:noProof/>
                <w:webHidden/>
              </w:rPr>
            </w:r>
            <w:r w:rsidR="002A2F7C">
              <w:rPr>
                <w:noProof/>
                <w:webHidden/>
              </w:rPr>
              <w:fldChar w:fldCharType="separate"/>
            </w:r>
            <w:r w:rsidR="002A2F7C">
              <w:rPr>
                <w:noProof/>
                <w:webHidden/>
              </w:rPr>
              <w:t>43</w:t>
            </w:r>
            <w:r w:rsidR="002A2F7C">
              <w:rPr>
                <w:noProof/>
                <w:webHidden/>
              </w:rPr>
              <w:fldChar w:fldCharType="end"/>
            </w:r>
          </w:hyperlink>
        </w:p>
        <w:p w14:paraId="5B17043A" w14:textId="65328058" w:rsidR="002A2F7C" w:rsidRDefault="00E170C6" w:rsidP="002A2F7C">
          <w:pPr>
            <w:pStyle w:val="TOC2"/>
            <w:rPr>
              <w:rFonts w:eastAsiaTheme="minorEastAsia"/>
              <w:noProof/>
            </w:rPr>
          </w:pPr>
          <w:hyperlink w:anchor="_Toc132901196" w:history="1">
            <w:r w:rsidR="002A2F7C" w:rsidRPr="00E43020">
              <w:rPr>
                <w:rStyle w:val="Hyperlink"/>
                <w:noProof/>
              </w:rPr>
              <w:t>Unit 18: Publication of final determinations (40 CFR 703.7(d))</w:t>
            </w:r>
            <w:r w:rsidR="002A2F7C">
              <w:rPr>
                <w:noProof/>
                <w:webHidden/>
              </w:rPr>
              <w:tab/>
            </w:r>
            <w:r w:rsidR="002A2F7C">
              <w:rPr>
                <w:noProof/>
                <w:webHidden/>
              </w:rPr>
              <w:fldChar w:fldCharType="begin"/>
            </w:r>
            <w:r w:rsidR="002A2F7C">
              <w:rPr>
                <w:noProof/>
                <w:webHidden/>
              </w:rPr>
              <w:instrText xml:space="preserve"> PAGEREF _Toc132901196 \h </w:instrText>
            </w:r>
            <w:r w:rsidR="002A2F7C">
              <w:rPr>
                <w:noProof/>
                <w:webHidden/>
              </w:rPr>
            </w:r>
            <w:r w:rsidR="002A2F7C">
              <w:rPr>
                <w:noProof/>
                <w:webHidden/>
              </w:rPr>
              <w:fldChar w:fldCharType="separate"/>
            </w:r>
            <w:r w:rsidR="002A2F7C">
              <w:rPr>
                <w:noProof/>
                <w:webHidden/>
              </w:rPr>
              <w:t>44</w:t>
            </w:r>
            <w:r w:rsidR="002A2F7C">
              <w:rPr>
                <w:noProof/>
                <w:webHidden/>
              </w:rPr>
              <w:fldChar w:fldCharType="end"/>
            </w:r>
          </w:hyperlink>
        </w:p>
        <w:p w14:paraId="1D0A17CA" w14:textId="57232E35" w:rsidR="002A2F7C" w:rsidRDefault="00E170C6" w:rsidP="002A2F7C">
          <w:pPr>
            <w:pStyle w:val="TOC2"/>
            <w:rPr>
              <w:rFonts w:eastAsiaTheme="minorEastAsia"/>
              <w:noProof/>
            </w:rPr>
          </w:pPr>
          <w:hyperlink w:anchor="_Toc132901197" w:history="1">
            <w:r w:rsidR="002A2F7C" w:rsidRPr="00E43020">
              <w:rPr>
                <w:rStyle w:val="Hyperlink"/>
                <w:noProof/>
              </w:rPr>
              <w:t>Unit 19: Substantive criteria (40 CFR 703.7(f))</w:t>
            </w:r>
            <w:r w:rsidR="002A2F7C">
              <w:rPr>
                <w:noProof/>
                <w:webHidden/>
              </w:rPr>
              <w:tab/>
            </w:r>
            <w:r w:rsidR="002A2F7C">
              <w:rPr>
                <w:noProof/>
                <w:webHidden/>
              </w:rPr>
              <w:fldChar w:fldCharType="begin"/>
            </w:r>
            <w:r w:rsidR="002A2F7C">
              <w:rPr>
                <w:noProof/>
                <w:webHidden/>
              </w:rPr>
              <w:instrText xml:space="preserve"> PAGEREF _Toc132901197 \h </w:instrText>
            </w:r>
            <w:r w:rsidR="002A2F7C">
              <w:rPr>
                <w:noProof/>
                <w:webHidden/>
              </w:rPr>
            </w:r>
            <w:r w:rsidR="002A2F7C">
              <w:rPr>
                <w:noProof/>
                <w:webHidden/>
              </w:rPr>
              <w:fldChar w:fldCharType="separate"/>
            </w:r>
            <w:r w:rsidR="002A2F7C">
              <w:rPr>
                <w:noProof/>
                <w:webHidden/>
              </w:rPr>
              <w:t>44</w:t>
            </w:r>
            <w:r w:rsidR="002A2F7C">
              <w:rPr>
                <w:noProof/>
                <w:webHidden/>
              </w:rPr>
              <w:fldChar w:fldCharType="end"/>
            </w:r>
          </w:hyperlink>
        </w:p>
        <w:p w14:paraId="273F5762" w14:textId="3D4DF649" w:rsidR="002A2F7C" w:rsidRDefault="00E170C6" w:rsidP="002A2F7C">
          <w:pPr>
            <w:pStyle w:val="TOC2"/>
            <w:rPr>
              <w:rFonts w:eastAsiaTheme="minorEastAsia"/>
              <w:noProof/>
            </w:rPr>
          </w:pPr>
          <w:hyperlink w:anchor="_Toc132901198" w:history="1">
            <w:r w:rsidR="002A2F7C" w:rsidRPr="00E43020">
              <w:rPr>
                <w:rStyle w:val="Hyperlink"/>
                <w:noProof/>
              </w:rPr>
              <w:t>Unit 20: Reconsideration Requests (40 CFR 703.7(g) as proposed)</w:t>
            </w:r>
            <w:r w:rsidR="002A2F7C">
              <w:rPr>
                <w:noProof/>
                <w:webHidden/>
              </w:rPr>
              <w:tab/>
            </w:r>
            <w:r w:rsidR="002A2F7C">
              <w:rPr>
                <w:noProof/>
                <w:webHidden/>
              </w:rPr>
              <w:fldChar w:fldCharType="begin"/>
            </w:r>
            <w:r w:rsidR="002A2F7C">
              <w:rPr>
                <w:noProof/>
                <w:webHidden/>
              </w:rPr>
              <w:instrText xml:space="preserve"> PAGEREF _Toc132901198 \h </w:instrText>
            </w:r>
            <w:r w:rsidR="002A2F7C">
              <w:rPr>
                <w:noProof/>
                <w:webHidden/>
              </w:rPr>
            </w:r>
            <w:r w:rsidR="002A2F7C">
              <w:rPr>
                <w:noProof/>
                <w:webHidden/>
              </w:rPr>
              <w:fldChar w:fldCharType="separate"/>
            </w:r>
            <w:r w:rsidR="002A2F7C">
              <w:rPr>
                <w:noProof/>
                <w:webHidden/>
              </w:rPr>
              <w:t>45</w:t>
            </w:r>
            <w:r w:rsidR="002A2F7C">
              <w:rPr>
                <w:noProof/>
                <w:webHidden/>
              </w:rPr>
              <w:fldChar w:fldCharType="end"/>
            </w:r>
          </w:hyperlink>
        </w:p>
        <w:p w14:paraId="44080A84" w14:textId="7F043191" w:rsidR="002A2F7C" w:rsidRDefault="00E170C6" w:rsidP="002A2F7C">
          <w:pPr>
            <w:pStyle w:val="TOC2"/>
            <w:rPr>
              <w:rFonts w:eastAsiaTheme="minorEastAsia"/>
              <w:noProof/>
            </w:rPr>
          </w:pPr>
          <w:hyperlink w:anchor="_Toc132901199" w:history="1">
            <w:r w:rsidR="002A2F7C" w:rsidRPr="00E43020">
              <w:rPr>
                <w:rStyle w:val="Hyperlink"/>
                <w:noProof/>
              </w:rPr>
              <w:t>Unit 21: EPA Review under 14(f) (40 CFR 703.8)</w:t>
            </w:r>
            <w:r w:rsidR="002A2F7C">
              <w:rPr>
                <w:noProof/>
                <w:webHidden/>
              </w:rPr>
              <w:tab/>
            </w:r>
            <w:r w:rsidR="002A2F7C">
              <w:rPr>
                <w:noProof/>
                <w:webHidden/>
              </w:rPr>
              <w:fldChar w:fldCharType="begin"/>
            </w:r>
            <w:r w:rsidR="002A2F7C">
              <w:rPr>
                <w:noProof/>
                <w:webHidden/>
              </w:rPr>
              <w:instrText xml:space="preserve"> PAGEREF _Toc132901199 \h </w:instrText>
            </w:r>
            <w:r w:rsidR="002A2F7C">
              <w:rPr>
                <w:noProof/>
                <w:webHidden/>
              </w:rPr>
            </w:r>
            <w:r w:rsidR="002A2F7C">
              <w:rPr>
                <w:noProof/>
                <w:webHidden/>
              </w:rPr>
              <w:fldChar w:fldCharType="separate"/>
            </w:r>
            <w:r w:rsidR="002A2F7C">
              <w:rPr>
                <w:noProof/>
                <w:webHidden/>
              </w:rPr>
              <w:t>46</w:t>
            </w:r>
            <w:r w:rsidR="002A2F7C">
              <w:rPr>
                <w:noProof/>
                <w:webHidden/>
              </w:rPr>
              <w:fldChar w:fldCharType="end"/>
            </w:r>
          </w:hyperlink>
        </w:p>
        <w:p w14:paraId="03884179" w14:textId="44CCF740" w:rsidR="002A2F7C" w:rsidRDefault="00E170C6" w:rsidP="002A2F7C">
          <w:pPr>
            <w:pStyle w:val="TOC2"/>
            <w:rPr>
              <w:rFonts w:eastAsiaTheme="minorEastAsia"/>
              <w:noProof/>
            </w:rPr>
          </w:pPr>
          <w:hyperlink w:anchor="_Toc132901200" w:history="1">
            <w:r w:rsidR="002A2F7C" w:rsidRPr="00E43020">
              <w:rPr>
                <w:rStyle w:val="Hyperlink"/>
                <w:noProof/>
              </w:rPr>
              <w:t>Unit 22: Proposed revisions and consolidation of pre-existing TSCA rules on CBI</w:t>
            </w:r>
            <w:r w:rsidR="002A2F7C">
              <w:rPr>
                <w:noProof/>
                <w:webHidden/>
              </w:rPr>
              <w:tab/>
            </w:r>
            <w:r w:rsidR="002A2F7C">
              <w:rPr>
                <w:noProof/>
                <w:webHidden/>
              </w:rPr>
              <w:fldChar w:fldCharType="begin"/>
            </w:r>
            <w:r w:rsidR="002A2F7C">
              <w:rPr>
                <w:noProof/>
                <w:webHidden/>
              </w:rPr>
              <w:instrText xml:space="preserve"> PAGEREF _Toc132901200 \h </w:instrText>
            </w:r>
            <w:r w:rsidR="002A2F7C">
              <w:rPr>
                <w:noProof/>
                <w:webHidden/>
              </w:rPr>
            </w:r>
            <w:r w:rsidR="002A2F7C">
              <w:rPr>
                <w:noProof/>
                <w:webHidden/>
              </w:rPr>
              <w:fldChar w:fldCharType="separate"/>
            </w:r>
            <w:r w:rsidR="002A2F7C">
              <w:rPr>
                <w:noProof/>
                <w:webHidden/>
              </w:rPr>
              <w:t>46</w:t>
            </w:r>
            <w:r w:rsidR="002A2F7C">
              <w:rPr>
                <w:noProof/>
                <w:webHidden/>
              </w:rPr>
              <w:fldChar w:fldCharType="end"/>
            </w:r>
          </w:hyperlink>
        </w:p>
        <w:p w14:paraId="1D44786E" w14:textId="44DED801" w:rsidR="002A2F7C" w:rsidRDefault="00E170C6" w:rsidP="002A2F7C">
          <w:pPr>
            <w:pStyle w:val="TOC2"/>
            <w:rPr>
              <w:rFonts w:eastAsiaTheme="minorEastAsia"/>
              <w:noProof/>
            </w:rPr>
          </w:pPr>
          <w:hyperlink w:anchor="_Toc132901201" w:history="1">
            <w:r w:rsidR="002A2F7C" w:rsidRPr="00E43020">
              <w:rPr>
                <w:rStyle w:val="Hyperlink"/>
                <w:noProof/>
              </w:rPr>
              <w:t>Unit 23: Notice beyond TSCA section 14 requirements</w:t>
            </w:r>
            <w:r w:rsidR="002A2F7C">
              <w:rPr>
                <w:noProof/>
                <w:webHidden/>
              </w:rPr>
              <w:tab/>
            </w:r>
            <w:r w:rsidR="002A2F7C">
              <w:rPr>
                <w:noProof/>
                <w:webHidden/>
              </w:rPr>
              <w:fldChar w:fldCharType="begin"/>
            </w:r>
            <w:r w:rsidR="002A2F7C">
              <w:rPr>
                <w:noProof/>
                <w:webHidden/>
              </w:rPr>
              <w:instrText xml:space="preserve"> PAGEREF _Toc132901201 \h </w:instrText>
            </w:r>
            <w:r w:rsidR="002A2F7C">
              <w:rPr>
                <w:noProof/>
                <w:webHidden/>
              </w:rPr>
            </w:r>
            <w:r w:rsidR="002A2F7C">
              <w:rPr>
                <w:noProof/>
                <w:webHidden/>
              </w:rPr>
              <w:fldChar w:fldCharType="separate"/>
            </w:r>
            <w:r w:rsidR="002A2F7C">
              <w:rPr>
                <w:noProof/>
                <w:webHidden/>
              </w:rPr>
              <w:t>50</w:t>
            </w:r>
            <w:r w:rsidR="002A2F7C">
              <w:rPr>
                <w:noProof/>
                <w:webHidden/>
              </w:rPr>
              <w:fldChar w:fldCharType="end"/>
            </w:r>
          </w:hyperlink>
        </w:p>
        <w:p w14:paraId="66CCD3A6" w14:textId="613E45B5" w:rsidR="002A2F7C" w:rsidRDefault="00E170C6" w:rsidP="002A2F7C">
          <w:pPr>
            <w:pStyle w:val="TOC2"/>
            <w:rPr>
              <w:rFonts w:eastAsiaTheme="minorEastAsia"/>
              <w:noProof/>
            </w:rPr>
          </w:pPr>
          <w:hyperlink w:anchor="_Toc132901202" w:history="1">
            <w:r w:rsidR="002A2F7C" w:rsidRPr="00E43020">
              <w:rPr>
                <w:rStyle w:val="Hyperlink"/>
                <w:noProof/>
              </w:rPr>
              <w:t>Unit 24: CBI claim review and public disclosure obligations generally</w:t>
            </w:r>
            <w:r w:rsidR="002A2F7C">
              <w:rPr>
                <w:noProof/>
                <w:webHidden/>
              </w:rPr>
              <w:tab/>
            </w:r>
            <w:r w:rsidR="002A2F7C">
              <w:rPr>
                <w:noProof/>
                <w:webHidden/>
              </w:rPr>
              <w:fldChar w:fldCharType="begin"/>
            </w:r>
            <w:r w:rsidR="002A2F7C">
              <w:rPr>
                <w:noProof/>
                <w:webHidden/>
              </w:rPr>
              <w:instrText xml:space="preserve"> PAGEREF _Toc132901202 \h </w:instrText>
            </w:r>
            <w:r w:rsidR="002A2F7C">
              <w:rPr>
                <w:noProof/>
                <w:webHidden/>
              </w:rPr>
            </w:r>
            <w:r w:rsidR="002A2F7C">
              <w:rPr>
                <w:noProof/>
                <w:webHidden/>
              </w:rPr>
              <w:fldChar w:fldCharType="separate"/>
            </w:r>
            <w:r w:rsidR="002A2F7C">
              <w:rPr>
                <w:noProof/>
                <w:webHidden/>
              </w:rPr>
              <w:t>51</w:t>
            </w:r>
            <w:r w:rsidR="002A2F7C">
              <w:rPr>
                <w:noProof/>
                <w:webHidden/>
              </w:rPr>
              <w:fldChar w:fldCharType="end"/>
            </w:r>
          </w:hyperlink>
        </w:p>
        <w:p w14:paraId="7B92C4F8" w14:textId="55B6E524" w:rsidR="00365572" w:rsidRDefault="00365572">
          <w:r>
            <w:rPr>
              <w:b/>
              <w:bCs/>
              <w:noProof/>
            </w:rPr>
            <w:fldChar w:fldCharType="end"/>
          </w:r>
        </w:p>
      </w:sdtContent>
    </w:sdt>
    <w:p w14:paraId="5530A230" w14:textId="0DF7E29D" w:rsidR="009D6856" w:rsidRPr="00C445D5" w:rsidRDefault="003E074F">
      <w:pPr>
        <w:rPr>
          <w:rFonts w:cstheme="minorHAnsi"/>
          <w:b/>
          <w:bCs/>
          <w:sz w:val="24"/>
          <w:szCs w:val="24"/>
          <w:u w:val="single"/>
        </w:rPr>
      </w:pPr>
      <w:r>
        <w:rPr>
          <w:rFonts w:cstheme="minorHAnsi"/>
          <w:b/>
          <w:bCs/>
          <w:sz w:val="24"/>
          <w:szCs w:val="24"/>
          <w:u w:val="single"/>
        </w:rPr>
        <w:br w:type="page"/>
      </w:r>
    </w:p>
    <w:p w14:paraId="6C28BD3B" w14:textId="77777777" w:rsidR="009D6856" w:rsidRPr="00431BA7" w:rsidRDefault="009D6856" w:rsidP="003E074F">
      <w:pPr>
        <w:pStyle w:val="Heading2"/>
        <w:numPr>
          <w:ilvl w:val="0"/>
          <w:numId w:val="0"/>
        </w:numPr>
        <w:ind w:left="360" w:hanging="360"/>
      </w:pPr>
      <w:bookmarkStart w:id="1" w:name="_Toc132901179"/>
      <w:r w:rsidRPr="00431BA7">
        <w:lastRenderedPageBreak/>
        <w:t>Unit 1: General Comments</w:t>
      </w:r>
      <w:bookmarkEnd w:id="1"/>
      <w:r w:rsidRPr="00431BA7">
        <w:t xml:space="preserve"> </w:t>
      </w:r>
    </w:p>
    <w:p w14:paraId="429E17D6" w14:textId="6F53D7DE" w:rsidR="009D6856" w:rsidRPr="00431BA7" w:rsidRDefault="009D6856" w:rsidP="009D6856">
      <w:pPr>
        <w:rPr>
          <w:rFonts w:cstheme="minorHAnsi"/>
          <w:sz w:val="24"/>
          <w:szCs w:val="24"/>
        </w:rPr>
      </w:pPr>
      <w:r w:rsidRPr="00431BA7">
        <w:rPr>
          <w:rFonts w:cstheme="minorHAnsi"/>
          <w:b/>
          <w:bCs/>
          <w:sz w:val="24"/>
          <w:szCs w:val="24"/>
        </w:rPr>
        <w:t xml:space="preserve">Comment:  </w:t>
      </w:r>
      <w:r w:rsidRPr="00431BA7">
        <w:rPr>
          <w:rFonts w:cstheme="minorHAnsi"/>
          <w:sz w:val="24"/>
          <w:szCs w:val="24"/>
        </w:rPr>
        <w:t>A few commenters wrote in general support of EPA’s rulemaking effort and</w:t>
      </w:r>
      <w:r w:rsidRPr="00431BA7">
        <w:rPr>
          <w:rFonts w:cstheme="minorHAnsi"/>
          <w:b/>
          <w:bCs/>
          <w:sz w:val="24"/>
          <w:szCs w:val="24"/>
        </w:rPr>
        <w:t xml:space="preserve"> </w:t>
      </w:r>
      <w:r w:rsidRPr="00431BA7">
        <w:rPr>
          <w:rFonts w:cstheme="minorHAnsi"/>
          <w:sz w:val="24"/>
          <w:szCs w:val="24"/>
        </w:rPr>
        <w:t xml:space="preserve">several commenters supported </w:t>
      </w:r>
      <w:proofErr w:type="gramStart"/>
      <w:r w:rsidRPr="00431BA7">
        <w:rPr>
          <w:rFonts w:cstheme="minorHAnsi"/>
          <w:sz w:val="24"/>
          <w:szCs w:val="24"/>
        </w:rPr>
        <w:t>particular provisions</w:t>
      </w:r>
      <w:proofErr w:type="gramEnd"/>
      <w:r w:rsidRPr="00431BA7">
        <w:rPr>
          <w:rFonts w:cstheme="minorHAnsi"/>
          <w:sz w:val="24"/>
          <w:szCs w:val="24"/>
        </w:rPr>
        <w:t>, such as EPA’s proposed consolidation of TSCA CBI rules, use of the generic name guidance document, and integration of substantiation into reporting forms.</w:t>
      </w:r>
    </w:p>
    <w:p w14:paraId="7E8D52A9" w14:textId="1B7B7C82" w:rsidR="00DA636A" w:rsidRPr="00431BA7" w:rsidRDefault="00DA636A" w:rsidP="009D6856">
      <w:pPr>
        <w:rPr>
          <w:rFonts w:cstheme="minorHAnsi"/>
          <w:b/>
          <w:bCs/>
          <w:sz w:val="24"/>
          <w:szCs w:val="24"/>
        </w:rPr>
      </w:pPr>
      <w:r w:rsidRPr="00431BA7">
        <w:rPr>
          <w:rFonts w:cstheme="minorHAnsi"/>
          <w:sz w:val="24"/>
          <w:szCs w:val="24"/>
        </w:rPr>
        <w:t xml:space="preserve">Source: -0044; -0043; -0042; -0051; -0048; -0053; -0047 </w:t>
      </w:r>
    </w:p>
    <w:p w14:paraId="4605390E" w14:textId="211D2823" w:rsidR="009D6856" w:rsidRPr="00431BA7" w:rsidRDefault="00060C02" w:rsidP="009D6856">
      <w:pPr>
        <w:rPr>
          <w:rFonts w:cstheme="minorHAnsi"/>
          <w:sz w:val="24"/>
          <w:szCs w:val="24"/>
        </w:rPr>
      </w:pPr>
      <w:r w:rsidRPr="00431BA7">
        <w:rPr>
          <w:rFonts w:cstheme="minorHAnsi"/>
          <w:b/>
          <w:bCs/>
          <w:sz w:val="24"/>
          <w:szCs w:val="24"/>
        </w:rPr>
        <w:t>Response</w:t>
      </w:r>
      <w:r w:rsidR="009D6856" w:rsidRPr="00431BA7">
        <w:rPr>
          <w:rFonts w:cstheme="minorHAnsi"/>
          <w:b/>
          <w:bCs/>
          <w:sz w:val="24"/>
          <w:szCs w:val="24"/>
        </w:rPr>
        <w:t xml:space="preserve">:  </w:t>
      </w:r>
      <w:r w:rsidR="009D6856" w:rsidRPr="00431BA7">
        <w:rPr>
          <w:rFonts w:cstheme="minorHAnsi"/>
          <w:sz w:val="24"/>
          <w:szCs w:val="24"/>
        </w:rPr>
        <w:t>EPA appreciates these comments.</w:t>
      </w:r>
    </w:p>
    <w:p w14:paraId="0329473D" w14:textId="18D26C30" w:rsidR="009D6856" w:rsidRPr="00431BA7" w:rsidRDefault="009D6856" w:rsidP="009D6856">
      <w:pPr>
        <w:rPr>
          <w:rFonts w:cstheme="minorHAnsi"/>
          <w:sz w:val="24"/>
          <w:szCs w:val="24"/>
        </w:rPr>
      </w:pPr>
      <w:r w:rsidRPr="00431BA7">
        <w:rPr>
          <w:rFonts w:cstheme="minorHAnsi"/>
          <w:b/>
          <w:bCs/>
          <w:sz w:val="24"/>
          <w:szCs w:val="24"/>
        </w:rPr>
        <w:t xml:space="preserve">Comment: </w:t>
      </w:r>
      <w:r w:rsidRPr="00431BA7">
        <w:rPr>
          <w:rFonts w:cstheme="minorHAnsi"/>
          <w:sz w:val="24"/>
          <w:szCs w:val="24"/>
        </w:rPr>
        <w:t>Several commenters urged that new requirements included in the proposal should apply only prospectively.</w:t>
      </w:r>
    </w:p>
    <w:p w14:paraId="5B8D349E" w14:textId="6268870E" w:rsidR="00DA636A" w:rsidRPr="00431BA7" w:rsidRDefault="00DA636A" w:rsidP="009D6856">
      <w:pPr>
        <w:rPr>
          <w:rFonts w:cstheme="minorHAnsi"/>
          <w:b/>
          <w:bCs/>
          <w:sz w:val="24"/>
          <w:szCs w:val="24"/>
        </w:rPr>
      </w:pPr>
      <w:r w:rsidRPr="00431BA7">
        <w:rPr>
          <w:rFonts w:cstheme="minorHAnsi"/>
          <w:sz w:val="24"/>
          <w:szCs w:val="24"/>
        </w:rPr>
        <w:t xml:space="preserve">Source: -0044; -0041; -0051; 0052; </w:t>
      </w:r>
      <w:r w:rsidR="00852BEA" w:rsidRPr="00431BA7">
        <w:rPr>
          <w:rFonts w:cstheme="minorHAnsi"/>
          <w:sz w:val="24"/>
          <w:szCs w:val="24"/>
        </w:rPr>
        <w:t>-0045</w:t>
      </w:r>
    </w:p>
    <w:p w14:paraId="619EB06C" w14:textId="6A887038" w:rsidR="009D6856" w:rsidRPr="00431BA7" w:rsidRDefault="00060C02" w:rsidP="1DC3E590">
      <w:pPr>
        <w:rPr>
          <w:sz w:val="24"/>
          <w:szCs w:val="24"/>
        </w:rPr>
      </w:pPr>
      <w:r w:rsidRPr="00431BA7">
        <w:rPr>
          <w:b/>
          <w:bCs/>
          <w:sz w:val="24"/>
          <w:szCs w:val="24"/>
        </w:rPr>
        <w:t>Response</w:t>
      </w:r>
      <w:r w:rsidR="009D6856" w:rsidRPr="00431BA7">
        <w:rPr>
          <w:b/>
          <w:bCs/>
          <w:sz w:val="24"/>
          <w:szCs w:val="24"/>
        </w:rPr>
        <w:t xml:space="preserve">:  </w:t>
      </w:r>
      <w:r w:rsidR="009D6856" w:rsidRPr="00431BA7">
        <w:rPr>
          <w:sz w:val="24"/>
          <w:szCs w:val="24"/>
        </w:rPr>
        <w:t xml:space="preserve">EPA </w:t>
      </w:r>
      <w:r w:rsidR="00716E52" w:rsidRPr="00431BA7">
        <w:rPr>
          <w:sz w:val="24"/>
          <w:szCs w:val="24"/>
        </w:rPr>
        <w:t xml:space="preserve">generally </w:t>
      </w:r>
      <w:r w:rsidR="009D6856" w:rsidRPr="00431BA7">
        <w:rPr>
          <w:sz w:val="24"/>
          <w:szCs w:val="24"/>
        </w:rPr>
        <w:t xml:space="preserve">agrees with this comment; the requirements, when finalized, will </w:t>
      </w:r>
      <w:r w:rsidR="00A66BE9" w:rsidRPr="00431BA7">
        <w:rPr>
          <w:sz w:val="24"/>
          <w:szCs w:val="24"/>
        </w:rPr>
        <w:t xml:space="preserve">generally </w:t>
      </w:r>
      <w:r w:rsidR="009D6856" w:rsidRPr="00431BA7">
        <w:rPr>
          <w:sz w:val="24"/>
          <w:szCs w:val="24"/>
        </w:rPr>
        <w:t>apply prospectively</w:t>
      </w:r>
      <w:r w:rsidR="00EF0754" w:rsidRPr="00431BA7">
        <w:rPr>
          <w:sz w:val="24"/>
          <w:szCs w:val="24"/>
        </w:rPr>
        <w:t>, especially with respect to assertion of CBI claims after the effective date of the rule</w:t>
      </w:r>
      <w:r w:rsidR="009D6856" w:rsidRPr="00431BA7">
        <w:rPr>
          <w:sz w:val="24"/>
          <w:szCs w:val="24"/>
        </w:rPr>
        <w:t>.</w:t>
      </w:r>
      <w:r w:rsidR="00512466" w:rsidRPr="00431BA7">
        <w:rPr>
          <w:sz w:val="24"/>
          <w:szCs w:val="24"/>
        </w:rPr>
        <w:t xml:space="preserve"> Note, however, that </w:t>
      </w:r>
      <w:r w:rsidR="00E217C4" w:rsidRPr="00431BA7">
        <w:rPr>
          <w:sz w:val="24"/>
          <w:szCs w:val="24"/>
        </w:rPr>
        <w:t xml:space="preserve">some </w:t>
      </w:r>
      <w:r w:rsidR="2AE7CEC6" w:rsidRPr="00431BA7">
        <w:rPr>
          <w:sz w:val="24"/>
          <w:szCs w:val="24"/>
        </w:rPr>
        <w:t xml:space="preserve">regulatory changes due to </w:t>
      </w:r>
      <w:r w:rsidR="338EEF08" w:rsidRPr="00431BA7">
        <w:rPr>
          <w:sz w:val="24"/>
          <w:szCs w:val="24"/>
        </w:rPr>
        <w:t>revis</w:t>
      </w:r>
      <w:r w:rsidR="3E58209A" w:rsidRPr="00431BA7">
        <w:rPr>
          <w:sz w:val="24"/>
          <w:szCs w:val="24"/>
        </w:rPr>
        <w:t>ions</w:t>
      </w:r>
      <w:r w:rsidR="00E31975" w:rsidRPr="00431BA7">
        <w:rPr>
          <w:sz w:val="24"/>
          <w:szCs w:val="24"/>
        </w:rPr>
        <w:t xml:space="preserve"> in</w:t>
      </w:r>
      <w:r w:rsidR="00E217C4" w:rsidRPr="00431BA7">
        <w:rPr>
          <w:sz w:val="24"/>
          <w:szCs w:val="24"/>
        </w:rPr>
        <w:t xml:space="preserve"> section 14 are already in effect.  </w:t>
      </w:r>
      <w:r w:rsidR="294BFE65" w:rsidRPr="00431BA7">
        <w:rPr>
          <w:sz w:val="24"/>
          <w:szCs w:val="24"/>
        </w:rPr>
        <w:t xml:space="preserve">The </w:t>
      </w:r>
      <w:r w:rsidR="00EE1A08" w:rsidRPr="00431BA7">
        <w:rPr>
          <w:sz w:val="24"/>
          <w:szCs w:val="24"/>
        </w:rPr>
        <w:t>Lautenberg</w:t>
      </w:r>
      <w:r w:rsidR="70870A1F" w:rsidRPr="00431BA7">
        <w:rPr>
          <w:sz w:val="24"/>
          <w:szCs w:val="24"/>
        </w:rPr>
        <w:t xml:space="preserve"> amendments</w:t>
      </w:r>
      <w:r w:rsidR="00870358" w:rsidRPr="00431BA7">
        <w:rPr>
          <w:sz w:val="24"/>
          <w:szCs w:val="24"/>
        </w:rPr>
        <w:t xml:space="preserve"> rendered certain aspects of existing regulations</w:t>
      </w:r>
      <w:r w:rsidR="004C4DA0" w:rsidRPr="00431BA7">
        <w:rPr>
          <w:sz w:val="24"/>
          <w:szCs w:val="24"/>
        </w:rPr>
        <w:t xml:space="preserve"> out of date, as discussed generally in the preamble</w:t>
      </w:r>
      <w:r w:rsidR="004B7CFA" w:rsidRPr="00431BA7">
        <w:rPr>
          <w:sz w:val="24"/>
          <w:szCs w:val="24"/>
        </w:rPr>
        <w:t>, such as requirements for asserting confidentiality claims.</w:t>
      </w:r>
      <w:r w:rsidR="00A23BB0" w:rsidRPr="00431BA7">
        <w:rPr>
          <w:sz w:val="24"/>
          <w:szCs w:val="24"/>
        </w:rPr>
        <w:t xml:space="preserve"> EPA</w:t>
      </w:r>
      <w:r w:rsidR="00A40ECD" w:rsidRPr="00431BA7">
        <w:rPr>
          <w:sz w:val="24"/>
          <w:szCs w:val="24"/>
        </w:rPr>
        <w:t xml:space="preserve"> has incorporated these changes into </w:t>
      </w:r>
      <w:r w:rsidR="00E548AF" w:rsidRPr="00431BA7">
        <w:rPr>
          <w:sz w:val="24"/>
          <w:szCs w:val="24"/>
        </w:rPr>
        <w:t>several</w:t>
      </w:r>
      <w:r w:rsidR="00A40ECD" w:rsidRPr="00431BA7">
        <w:rPr>
          <w:sz w:val="24"/>
          <w:szCs w:val="24"/>
        </w:rPr>
        <w:t xml:space="preserve"> regulations that were promulgated or amended after Lautenberg, </w:t>
      </w:r>
      <w:proofErr w:type="gramStart"/>
      <w:r w:rsidR="00A40ECD" w:rsidRPr="00431BA7">
        <w:rPr>
          <w:sz w:val="24"/>
          <w:szCs w:val="24"/>
        </w:rPr>
        <w:t xml:space="preserve">and </w:t>
      </w:r>
      <w:r w:rsidR="00017239" w:rsidRPr="00431BA7">
        <w:rPr>
          <w:sz w:val="24"/>
          <w:szCs w:val="24"/>
        </w:rPr>
        <w:t>also</w:t>
      </w:r>
      <w:proofErr w:type="gramEnd"/>
      <w:r w:rsidR="00017239" w:rsidRPr="00431BA7">
        <w:rPr>
          <w:sz w:val="24"/>
          <w:szCs w:val="24"/>
        </w:rPr>
        <w:t xml:space="preserve"> </w:t>
      </w:r>
      <w:r w:rsidR="003D2E03" w:rsidRPr="00431BA7">
        <w:rPr>
          <w:sz w:val="24"/>
          <w:szCs w:val="24"/>
        </w:rPr>
        <w:t>has published</w:t>
      </w:r>
      <w:r w:rsidR="00865EA9" w:rsidRPr="00431BA7">
        <w:rPr>
          <w:sz w:val="24"/>
          <w:szCs w:val="24"/>
        </w:rPr>
        <w:t xml:space="preserve"> its </w:t>
      </w:r>
      <w:r w:rsidR="008979FB" w:rsidRPr="00431BA7">
        <w:rPr>
          <w:sz w:val="24"/>
          <w:szCs w:val="24"/>
        </w:rPr>
        <w:t xml:space="preserve">interim procedures for implementing the new law. See, e.g., </w:t>
      </w:r>
      <w:hyperlink r:id="rId12" w:history="1">
        <w:r w:rsidR="00BF6FC7" w:rsidRPr="00431BA7">
          <w:rPr>
            <w:rStyle w:val="Hyperlink"/>
            <w:sz w:val="24"/>
            <w:szCs w:val="24"/>
          </w:rPr>
          <w:t>https://www.epa.gov/tsca-cbi</w:t>
        </w:r>
      </w:hyperlink>
      <w:r w:rsidR="00BF6FC7" w:rsidRPr="00431BA7">
        <w:rPr>
          <w:sz w:val="24"/>
          <w:szCs w:val="24"/>
        </w:rPr>
        <w:t xml:space="preserve"> .</w:t>
      </w:r>
      <w:r w:rsidR="00E327E3" w:rsidRPr="00431BA7">
        <w:rPr>
          <w:sz w:val="24"/>
          <w:szCs w:val="24"/>
        </w:rPr>
        <w:t xml:space="preserve"> Further, EPA may or in some cases must review </w:t>
      </w:r>
      <w:r w:rsidR="003A7833" w:rsidRPr="00431BA7">
        <w:rPr>
          <w:sz w:val="24"/>
          <w:szCs w:val="24"/>
        </w:rPr>
        <w:t>or take other actions</w:t>
      </w:r>
      <w:r w:rsidR="005D5F58" w:rsidRPr="00431BA7">
        <w:rPr>
          <w:sz w:val="24"/>
          <w:szCs w:val="24"/>
        </w:rPr>
        <w:t xml:space="preserve"> authorized or required by Lautenberg</w:t>
      </w:r>
      <w:r w:rsidR="003A7833" w:rsidRPr="00431BA7">
        <w:rPr>
          <w:sz w:val="24"/>
          <w:szCs w:val="24"/>
        </w:rPr>
        <w:t xml:space="preserve"> with respect to </w:t>
      </w:r>
      <w:r w:rsidR="00E327E3" w:rsidRPr="00431BA7">
        <w:rPr>
          <w:sz w:val="24"/>
          <w:szCs w:val="24"/>
        </w:rPr>
        <w:t>claims that pre-date either the requirements of this rule or the Lautenberg amendments</w:t>
      </w:r>
      <w:r w:rsidR="00FD3361" w:rsidRPr="00431BA7">
        <w:rPr>
          <w:sz w:val="24"/>
          <w:szCs w:val="24"/>
        </w:rPr>
        <w:t>. T</w:t>
      </w:r>
      <w:r w:rsidR="00E327E3" w:rsidRPr="00431BA7">
        <w:rPr>
          <w:sz w:val="24"/>
          <w:szCs w:val="24"/>
        </w:rPr>
        <w:t>hese rules, including the substantiation</w:t>
      </w:r>
      <w:r w:rsidR="00B46496" w:rsidRPr="00431BA7">
        <w:rPr>
          <w:sz w:val="24"/>
          <w:szCs w:val="24"/>
        </w:rPr>
        <w:t>,</w:t>
      </w:r>
      <w:r w:rsidR="00E327E3" w:rsidRPr="00431BA7">
        <w:rPr>
          <w:sz w:val="24"/>
          <w:szCs w:val="24"/>
        </w:rPr>
        <w:t xml:space="preserve"> </w:t>
      </w:r>
      <w:r w:rsidR="00B46496" w:rsidRPr="00431BA7">
        <w:rPr>
          <w:sz w:val="24"/>
          <w:szCs w:val="24"/>
        </w:rPr>
        <w:t xml:space="preserve">electronic </w:t>
      </w:r>
      <w:r w:rsidR="00E327E3" w:rsidRPr="00431BA7">
        <w:rPr>
          <w:sz w:val="24"/>
          <w:szCs w:val="24"/>
        </w:rPr>
        <w:t>notice requirements</w:t>
      </w:r>
      <w:r w:rsidR="00B46496" w:rsidRPr="00431BA7">
        <w:rPr>
          <w:sz w:val="24"/>
          <w:szCs w:val="24"/>
        </w:rPr>
        <w:t>, and review procedures</w:t>
      </w:r>
      <w:r w:rsidR="00E327E3" w:rsidRPr="00431BA7">
        <w:rPr>
          <w:sz w:val="24"/>
          <w:szCs w:val="24"/>
        </w:rPr>
        <w:t>, will apply to</w:t>
      </w:r>
      <w:r w:rsidR="00CE4EE7" w:rsidRPr="00431BA7">
        <w:rPr>
          <w:sz w:val="24"/>
          <w:szCs w:val="24"/>
        </w:rPr>
        <w:t xml:space="preserve"> such actions</w:t>
      </w:r>
      <w:r w:rsidR="00E327E3" w:rsidRPr="00431BA7">
        <w:rPr>
          <w:sz w:val="24"/>
          <w:szCs w:val="24"/>
        </w:rPr>
        <w:t xml:space="preserve"> initiated after the effective date of this rule.</w:t>
      </w:r>
    </w:p>
    <w:p w14:paraId="1FE30118" w14:textId="12169126" w:rsidR="009D6856" w:rsidRPr="00431BA7" w:rsidRDefault="009D6856" w:rsidP="009D6856">
      <w:pPr>
        <w:rPr>
          <w:rFonts w:cstheme="minorHAnsi"/>
          <w:sz w:val="24"/>
          <w:szCs w:val="24"/>
        </w:rPr>
      </w:pPr>
      <w:r w:rsidRPr="00431BA7">
        <w:rPr>
          <w:rFonts w:cstheme="minorHAnsi"/>
          <w:b/>
          <w:bCs/>
          <w:sz w:val="24"/>
          <w:szCs w:val="24"/>
        </w:rPr>
        <w:t xml:space="preserve">Comment: </w:t>
      </w:r>
      <w:r w:rsidRPr="00431BA7">
        <w:rPr>
          <w:rFonts w:cstheme="minorHAnsi"/>
          <w:sz w:val="24"/>
          <w:szCs w:val="24"/>
        </w:rPr>
        <w:t>One commenter asserted that the Economic Assessment was incomplete, in that it did not account for the increased burden of providing substantiation in general, or for answering a different competitive harm question.  They suggested that a sensitivity analysis was needed.</w:t>
      </w:r>
    </w:p>
    <w:p w14:paraId="06CB2039" w14:textId="5B457B4D" w:rsidR="00342957" w:rsidRPr="00431BA7" w:rsidRDefault="00342957" w:rsidP="009D6856">
      <w:pPr>
        <w:rPr>
          <w:rFonts w:cstheme="minorHAnsi"/>
          <w:b/>
          <w:bCs/>
          <w:sz w:val="24"/>
          <w:szCs w:val="24"/>
        </w:rPr>
      </w:pPr>
      <w:r w:rsidRPr="00431BA7">
        <w:rPr>
          <w:rFonts w:cstheme="minorHAnsi"/>
          <w:sz w:val="24"/>
          <w:szCs w:val="24"/>
        </w:rPr>
        <w:t>Source: -0044</w:t>
      </w:r>
    </w:p>
    <w:p w14:paraId="62ADC8BD" w14:textId="11C2F75C" w:rsidR="009D6856" w:rsidRPr="00431BA7" w:rsidRDefault="00060C02" w:rsidP="1DC3E590">
      <w:pPr>
        <w:rPr>
          <w:sz w:val="24"/>
          <w:szCs w:val="24"/>
        </w:rPr>
      </w:pPr>
      <w:r w:rsidRPr="00431BA7">
        <w:rPr>
          <w:b/>
          <w:bCs/>
          <w:sz w:val="24"/>
          <w:szCs w:val="24"/>
        </w:rPr>
        <w:t>Response</w:t>
      </w:r>
      <w:r w:rsidR="009D6856" w:rsidRPr="00431BA7">
        <w:rPr>
          <w:b/>
          <w:bCs/>
          <w:sz w:val="24"/>
          <w:szCs w:val="24"/>
        </w:rPr>
        <w:t xml:space="preserve">:  </w:t>
      </w:r>
      <w:r w:rsidR="009D6856" w:rsidRPr="00431BA7">
        <w:rPr>
          <w:sz w:val="24"/>
          <w:szCs w:val="24"/>
        </w:rPr>
        <w:t xml:space="preserve">EPA disagrees with this comment. The burden associated with providing substantiation for TSCA submissions has already been incorporated into several existing </w:t>
      </w:r>
      <w:r w:rsidR="00FB2E8C" w:rsidRPr="00431BA7">
        <w:rPr>
          <w:sz w:val="24"/>
          <w:szCs w:val="24"/>
        </w:rPr>
        <w:t xml:space="preserve">Information Collection Requests </w:t>
      </w:r>
      <w:r w:rsidR="009D6856" w:rsidRPr="00431BA7">
        <w:rPr>
          <w:sz w:val="24"/>
          <w:szCs w:val="24"/>
        </w:rPr>
        <w:t>for the various TSCA submissions.</w:t>
      </w:r>
      <w:r w:rsidR="00B530A5" w:rsidRPr="00431BA7">
        <w:rPr>
          <w:sz w:val="24"/>
          <w:szCs w:val="24"/>
        </w:rPr>
        <w:t xml:space="preserve">  See, e.g., OMB Control Nos. 2070-0033 (section 4), 2070-00</w:t>
      </w:r>
      <w:r w:rsidR="00E4350F" w:rsidRPr="00431BA7">
        <w:rPr>
          <w:sz w:val="24"/>
          <w:szCs w:val="24"/>
        </w:rPr>
        <w:t>38</w:t>
      </w:r>
      <w:r w:rsidR="00B530A5" w:rsidRPr="00431BA7">
        <w:rPr>
          <w:sz w:val="24"/>
          <w:szCs w:val="24"/>
        </w:rPr>
        <w:t xml:space="preserve"> (section 5), 2070-0202 (section 6); </w:t>
      </w:r>
      <w:r w:rsidR="00E61086" w:rsidRPr="00431BA7">
        <w:rPr>
          <w:sz w:val="24"/>
          <w:szCs w:val="24"/>
        </w:rPr>
        <w:t xml:space="preserve">2070-0162 (CDR); </w:t>
      </w:r>
      <w:r w:rsidR="00B530A5" w:rsidRPr="00431BA7">
        <w:rPr>
          <w:sz w:val="24"/>
          <w:szCs w:val="24"/>
        </w:rPr>
        <w:t>2070-0224 (section 8</w:t>
      </w:r>
      <w:r w:rsidR="00E4350F" w:rsidRPr="00431BA7">
        <w:rPr>
          <w:sz w:val="24"/>
          <w:szCs w:val="24"/>
        </w:rPr>
        <w:t xml:space="preserve">(c) and </w:t>
      </w:r>
      <w:r w:rsidR="00B530A5" w:rsidRPr="00431BA7">
        <w:rPr>
          <w:sz w:val="24"/>
          <w:szCs w:val="24"/>
        </w:rPr>
        <w:t xml:space="preserve">(d)); 2070-0046 (section 8(e)); 2070-0030 (section 12(b)); 2070-0207 (section 8(b)(10)(D)); </w:t>
      </w:r>
      <w:r w:rsidR="00E61086" w:rsidRPr="00431BA7">
        <w:rPr>
          <w:sz w:val="24"/>
          <w:szCs w:val="24"/>
        </w:rPr>
        <w:t>2070-0185 (TSCA Title VI)</w:t>
      </w:r>
      <w:r w:rsidR="00C559BD" w:rsidRPr="00431BA7">
        <w:rPr>
          <w:sz w:val="24"/>
          <w:szCs w:val="24"/>
        </w:rPr>
        <w:t>.</w:t>
      </w:r>
    </w:p>
    <w:p w14:paraId="0BCB915B" w14:textId="77777777" w:rsidR="008B1538" w:rsidRPr="00431BA7" w:rsidRDefault="009F3B7C" w:rsidP="009D6856">
      <w:pPr>
        <w:rPr>
          <w:rFonts w:cstheme="minorHAnsi"/>
          <w:b/>
          <w:bCs/>
          <w:sz w:val="24"/>
          <w:szCs w:val="24"/>
        </w:rPr>
      </w:pPr>
      <w:r w:rsidRPr="00431BA7">
        <w:rPr>
          <w:rFonts w:cstheme="minorHAnsi"/>
          <w:b/>
          <w:bCs/>
          <w:sz w:val="24"/>
          <w:szCs w:val="24"/>
        </w:rPr>
        <w:t xml:space="preserve">Comment: </w:t>
      </w:r>
      <w:r w:rsidRPr="00431BA7">
        <w:rPr>
          <w:rFonts w:cstheme="minorHAnsi"/>
          <w:sz w:val="24"/>
          <w:szCs w:val="24"/>
        </w:rPr>
        <w:t>One commenter requested a comment period extension</w:t>
      </w:r>
      <w:r w:rsidRPr="00431BA7">
        <w:rPr>
          <w:rFonts w:cstheme="minorHAnsi"/>
          <w:b/>
          <w:bCs/>
          <w:sz w:val="24"/>
          <w:szCs w:val="24"/>
        </w:rPr>
        <w:t xml:space="preserve">. </w:t>
      </w:r>
    </w:p>
    <w:p w14:paraId="3537519F" w14:textId="71268ECC" w:rsidR="008D22B0" w:rsidRPr="00431BA7" w:rsidRDefault="008B1538" w:rsidP="009D6856">
      <w:pPr>
        <w:rPr>
          <w:rFonts w:cstheme="minorHAnsi"/>
          <w:sz w:val="24"/>
          <w:szCs w:val="24"/>
        </w:rPr>
      </w:pPr>
      <w:r w:rsidRPr="00431BA7">
        <w:rPr>
          <w:rFonts w:cstheme="minorHAnsi"/>
          <w:sz w:val="24"/>
          <w:szCs w:val="24"/>
        </w:rPr>
        <w:lastRenderedPageBreak/>
        <w:t xml:space="preserve">Source: </w:t>
      </w:r>
      <w:r w:rsidR="002C4D8C" w:rsidRPr="00431BA7">
        <w:rPr>
          <w:rFonts w:cstheme="minorHAnsi"/>
          <w:sz w:val="24"/>
          <w:szCs w:val="24"/>
        </w:rPr>
        <w:t>-</w:t>
      </w:r>
      <w:r w:rsidR="00B6607E" w:rsidRPr="00431BA7">
        <w:rPr>
          <w:rFonts w:cstheme="minorHAnsi"/>
          <w:sz w:val="24"/>
          <w:szCs w:val="24"/>
        </w:rPr>
        <w:t>0026</w:t>
      </w:r>
    </w:p>
    <w:p w14:paraId="1A05DCA2" w14:textId="7E88E8E3" w:rsidR="009F3B7C" w:rsidRPr="00431BA7" w:rsidRDefault="009F3B7C" w:rsidP="009D6856">
      <w:pPr>
        <w:rPr>
          <w:rFonts w:cstheme="minorHAnsi"/>
          <w:sz w:val="24"/>
          <w:szCs w:val="24"/>
        </w:rPr>
      </w:pPr>
      <w:r w:rsidRPr="00431BA7">
        <w:rPr>
          <w:rFonts w:cstheme="minorHAnsi"/>
          <w:b/>
          <w:bCs/>
          <w:sz w:val="24"/>
          <w:szCs w:val="24"/>
        </w:rPr>
        <w:t xml:space="preserve">Response: </w:t>
      </w:r>
      <w:r w:rsidRPr="00431BA7">
        <w:rPr>
          <w:rFonts w:cstheme="minorHAnsi"/>
          <w:sz w:val="24"/>
          <w:szCs w:val="24"/>
        </w:rPr>
        <w:t>EPA declined to grant this comment period extension request.</w:t>
      </w:r>
    </w:p>
    <w:p w14:paraId="61404C56" w14:textId="3FC657FF" w:rsidR="00576D81" w:rsidRPr="00431BA7" w:rsidRDefault="009D6856" w:rsidP="003E074F">
      <w:pPr>
        <w:pStyle w:val="Heading2"/>
        <w:numPr>
          <w:ilvl w:val="0"/>
          <w:numId w:val="0"/>
        </w:numPr>
        <w:ind w:left="360" w:hanging="360"/>
        <w:rPr>
          <w:i/>
          <w:iCs/>
        </w:rPr>
      </w:pPr>
      <w:bookmarkStart w:id="2" w:name="_Toc132901180"/>
      <w:r w:rsidRPr="00431BA7">
        <w:t xml:space="preserve">Unit 2: </w:t>
      </w:r>
      <w:r w:rsidR="007B4F0A" w:rsidRPr="00431BA7">
        <w:t>TSCA Section 14(d)</w:t>
      </w:r>
      <w:r w:rsidRPr="00431BA7">
        <w:t xml:space="preserve"> </w:t>
      </w:r>
      <w:r w:rsidR="007B4F0A" w:rsidRPr="00431BA7">
        <w:t xml:space="preserve">Disclosures </w:t>
      </w:r>
      <w:r w:rsidR="00D174C1" w:rsidRPr="00431BA7">
        <w:t>and Notice Requirements</w:t>
      </w:r>
      <w:bookmarkEnd w:id="2"/>
    </w:p>
    <w:p w14:paraId="6C3D2DA2" w14:textId="36FD1628" w:rsidR="008B1538" w:rsidRPr="00431BA7" w:rsidRDefault="0051178C">
      <w:pPr>
        <w:rPr>
          <w:rFonts w:cstheme="minorHAnsi"/>
          <w:sz w:val="24"/>
          <w:szCs w:val="24"/>
        </w:rPr>
      </w:pPr>
      <w:r w:rsidRPr="00431BA7">
        <w:rPr>
          <w:rFonts w:cstheme="minorHAnsi"/>
          <w:b/>
          <w:bCs/>
          <w:sz w:val="24"/>
          <w:szCs w:val="24"/>
        </w:rPr>
        <w:t xml:space="preserve">Comment: </w:t>
      </w:r>
      <w:r w:rsidRPr="00431BA7">
        <w:rPr>
          <w:rFonts w:cstheme="minorHAnsi"/>
          <w:sz w:val="24"/>
          <w:szCs w:val="24"/>
        </w:rPr>
        <w:t>EPA received two comments concerning section 14(d)(3) disclosures</w:t>
      </w:r>
      <w:r w:rsidR="001D597E" w:rsidRPr="00431BA7">
        <w:rPr>
          <w:rFonts w:cstheme="minorHAnsi"/>
          <w:sz w:val="24"/>
          <w:szCs w:val="24"/>
        </w:rPr>
        <w:t xml:space="preserve">; one of these requested elaboration on how </w:t>
      </w:r>
      <w:r w:rsidR="00361F2A" w:rsidRPr="00431BA7">
        <w:rPr>
          <w:rFonts w:cstheme="minorHAnsi"/>
          <w:sz w:val="24"/>
          <w:szCs w:val="24"/>
        </w:rPr>
        <w:t xml:space="preserve">section </w:t>
      </w:r>
      <w:r w:rsidR="001D597E" w:rsidRPr="00431BA7">
        <w:rPr>
          <w:rFonts w:cstheme="minorHAnsi"/>
          <w:sz w:val="24"/>
          <w:szCs w:val="24"/>
        </w:rPr>
        <w:t xml:space="preserve">14(d)(3) disclosures would be made, especially in connection with </w:t>
      </w:r>
      <w:r w:rsidR="00065B05" w:rsidRPr="00431BA7">
        <w:rPr>
          <w:rFonts w:cstheme="minorHAnsi"/>
          <w:sz w:val="24"/>
          <w:szCs w:val="24"/>
        </w:rPr>
        <w:t>risks to workers and potentially exposed or susceptible subpopulations</w:t>
      </w:r>
      <w:r w:rsidR="001D597E" w:rsidRPr="00431BA7">
        <w:rPr>
          <w:rFonts w:cstheme="minorHAnsi"/>
          <w:sz w:val="24"/>
          <w:szCs w:val="24"/>
        </w:rPr>
        <w:t>, and the other voiced concern that the EPA Office of General Counsel would “veto” the TSCA program office’s risk decisions.</w:t>
      </w:r>
    </w:p>
    <w:p w14:paraId="57468521" w14:textId="5398248D" w:rsidR="0051178C" w:rsidRPr="00431BA7" w:rsidRDefault="008B1538">
      <w:pPr>
        <w:rPr>
          <w:rFonts w:cstheme="minorHAnsi"/>
          <w:b/>
          <w:bCs/>
          <w:sz w:val="24"/>
          <w:szCs w:val="24"/>
        </w:rPr>
      </w:pPr>
      <w:r w:rsidRPr="00431BA7">
        <w:rPr>
          <w:rFonts w:cstheme="minorHAnsi"/>
          <w:sz w:val="24"/>
          <w:szCs w:val="24"/>
        </w:rPr>
        <w:t>Source:</w:t>
      </w:r>
      <w:r w:rsidR="00B6607E" w:rsidRPr="00431BA7">
        <w:rPr>
          <w:rFonts w:cstheme="minorHAnsi"/>
          <w:sz w:val="24"/>
          <w:szCs w:val="24"/>
        </w:rPr>
        <w:t xml:space="preserve"> </w:t>
      </w:r>
      <w:r w:rsidR="00342957" w:rsidRPr="00431BA7">
        <w:rPr>
          <w:rFonts w:cstheme="minorHAnsi"/>
          <w:sz w:val="24"/>
          <w:szCs w:val="24"/>
        </w:rPr>
        <w:t>-</w:t>
      </w:r>
      <w:r w:rsidR="00B6607E" w:rsidRPr="00431BA7">
        <w:rPr>
          <w:rFonts w:cstheme="minorHAnsi"/>
          <w:sz w:val="24"/>
          <w:szCs w:val="24"/>
        </w:rPr>
        <w:t xml:space="preserve">0050; </w:t>
      </w:r>
      <w:r w:rsidR="00342957" w:rsidRPr="00431BA7">
        <w:rPr>
          <w:rFonts w:cstheme="minorHAnsi"/>
          <w:sz w:val="24"/>
          <w:szCs w:val="24"/>
        </w:rPr>
        <w:t>-</w:t>
      </w:r>
      <w:r w:rsidR="00B6607E" w:rsidRPr="00431BA7">
        <w:rPr>
          <w:rFonts w:cstheme="minorHAnsi"/>
          <w:sz w:val="24"/>
          <w:szCs w:val="24"/>
        </w:rPr>
        <w:t>0049</w:t>
      </w:r>
    </w:p>
    <w:p w14:paraId="1D82185C" w14:textId="6772E205" w:rsidR="00DE25BD" w:rsidRPr="00431BA7" w:rsidRDefault="00060C02">
      <w:pPr>
        <w:rPr>
          <w:sz w:val="24"/>
          <w:szCs w:val="24"/>
        </w:rPr>
      </w:pPr>
      <w:r w:rsidRPr="00431BA7">
        <w:rPr>
          <w:b/>
          <w:sz w:val="24"/>
          <w:szCs w:val="24"/>
        </w:rPr>
        <w:t>Response</w:t>
      </w:r>
      <w:r w:rsidR="0039478C" w:rsidRPr="00431BA7">
        <w:rPr>
          <w:b/>
          <w:sz w:val="24"/>
          <w:szCs w:val="24"/>
        </w:rPr>
        <w:t>:</w:t>
      </w:r>
      <w:r w:rsidR="004161A9" w:rsidRPr="00431BA7">
        <w:rPr>
          <w:sz w:val="24"/>
          <w:szCs w:val="24"/>
        </w:rPr>
        <w:t xml:space="preserve"> </w:t>
      </w:r>
      <w:r w:rsidR="00191F88" w:rsidRPr="00431BA7">
        <w:rPr>
          <w:sz w:val="24"/>
          <w:szCs w:val="24"/>
        </w:rPr>
        <w:t xml:space="preserve">Prior to Lautenberg, </w:t>
      </w:r>
      <w:r w:rsidR="00E079ED" w:rsidRPr="00431BA7">
        <w:rPr>
          <w:sz w:val="24"/>
          <w:szCs w:val="24"/>
        </w:rPr>
        <w:t xml:space="preserve">the Agency </w:t>
      </w:r>
      <w:r w:rsidR="00A36E62" w:rsidRPr="00431BA7">
        <w:rPr>
          <w:sz w:val="24"/>
          <w:szCs w:val="24"/>
        </w:rPr>
        <w:t xml:space="preserve">was required to </w:t>
      </w:r>
      <w:r w:rsidR="00732615" w:rsidRPr="00431BA7">
        <w:rPr>
          <w:sz w:val="24"/>
          <w:szCs w:val="24"/>
        </w:rPr>
        <w:t>make</w:t>
      </w:r>
      <w:r w:rsidR="00E079ED" w:rsidRPr="00431BA7">
        <w:rPr>
          <w:sz w:val="24"/>
          <w:szCs w:val="24"/>
        </w:rPr>
        <w:t xml:space="preserve"> a similar risk determination </w:t>
      </w:r>
      <w:r w:rsidR="00140383" w:rsidRPr="00431BA7">
        <w:rPr>
          <w:sz w:val="24"/>
          <w:szCs w:val="24"/>
        </w:rPr>
        <w:t>before</w:t>
      </w:r>
      <w:r w:rsidR="00E079ED" w:rsidRPr="00431BA7">
        <w:rPr>
          <w:sz w:val="24"/>
          <w:szCs w:val="24"/>
        </w:rPr>
        <w:t xml:space="preserve"> disclosure</w:t>
      </w:r>
      <w:r w:rsidR="00140383" w:rsidRPr="00431BA7">
        <w:rPr>
          <w:sz w:val="24"/>
          <w:szCs w:val="24"/>
        </w:rPr>
        <w:t xml:space="preserve"> of information</w:t>
      </w:r>
      <w:r w:rsidR="00E73B6B" w:rsidRPr="00431BA7">
        <w:rPr>
          <w:sz w:val="24"/>
          <w:szCs w:val="24"/>
        </w:rPr>
        <w:t xml:space="preserve"> pursuant to this provision</w:t>
      </w:r>
      <w:r w:rsidR="00287235" w:rsidRPr="00431BA7">
        <w:rPr>
          <w:sz w:val="24"/>
          <w:szCs w:val="24"/>
        </w:rPr>
        <w:t xml:space="preserve">. </w:t>
      </w:r>
      <w:r w:rsidR="005F4DEC" w:rsidRPr="00431BA7">
        <w:rPr>
          <w:i/>
          <w:sz w:val="24"/>
          <w:szCs w:val="24"/>
        </w:rPr>
        <w:t xml:space="preserve">See </w:t>
      </w:r>
      <w:r w:rsidR="005F4DEC" w:rsidRPr="00431BA7">
        <w:rPr>
          <w:sz w:val="24"/>
          <w:szCs w:val="24"/>
        </w:rPr>
        <w:t>15 U.S.C. § 2613</w:t>
      </w:r>
      <w:r w:rsidR="00107F5C" w:rsidRPr="00431BA7">
        <w:rPr>
          <w:sz w:val="24"/>
          <w:szCs w:val="24"/>
        </w:rPr>
        <w:t>(a)(</w:t>
      </w:r>
      <w:r w:rsidR="008E278C" w:rsidRPr="00431BA7">
        <w:rPr>
          <w:sz w:val="24"/>
          <w:szCs w:val="24"/>
        </w:rPr>
        <w:t>3)</w:t>
      </w:r>
      <w:r w:rsidR="005543A5" w:rsidRPr="00431BA7">
        <w:rPr>
          <w:sz w:val="24"/>
          <w:szCs w:val="24"/>
        </w:rPr>
        <w:t xml:space="preserve"> (</w:t>
      </w:r>
      <w:r w:rsidR="00922369" w:rsidRPr="00431BA7">
        <w:rPr>
          <w:sz w:val="24"/>
          <w:szCs w:val="24"/>
        </w:rPr>
        <w:t>1976)</w:t>
      </w:r>
      <w:r w:rsidR="005543A5" w:rsidRPr="00431BA7">
        <w:rPr>
          <w:sz w:val="24"/>
          <w:szCs w:val="24"/>
        </w:rPr>
        <w:t xml:space="preserve"> (</w:t>
      </w:r>
      <w:r w:rsidR="00542F7F" w:rsidRPr="00431BA7">
        <w:rPr>
          <w:sz w:val="24"/>
          <w:szCs w:val="24"/>
        </w:rPr>
        <w:t xml:space="preserve">information </w:t>
      </w:r>
      <w:r w:rsidR="005543A5" w:rsidRPr="00431BA7">
        <w:rPr>
          <w:sz w:val="24"/>
          <w:szCs w:val="24"/>
        </w:rPr>
        <w:t>“shall be disclosed if the Administrator determines it necessary to protect health or the environment against an unreasonable risk of injury to health or the environment</w:t>
      </w:r>
      <w:r w:rsidR="008E278C" w:rsidRPr="00431BA7">
        <w:rPr>
          <w:sz w:val="24"/>
          <w:szCs w:val="24"/>
        </w:rPr>
        <w:t>.</w:t>
      </w:r>
      <w:r w:rsidR="00542F7F" w:rsidRPr="00431BA7">
        <w:rPr>
          <w:sz w:val="24"/>
          <w:szCs w:val="24"/>
        </w:rPr>
        <w:t>”)</w:t>
      </w:r>
      <w:r w:rsidR="008E278C" w:rsidRPr="00431BA7">
        <w:rPr>
          <w:b/>
          <w:sz w:val="24"/>
          <w:szCs w:val="24"/>
        </w:rPr>
        <w:t xml:space="preserve"> </w:t>
      </w:r>
      <w:r w:rsidR="00731618" w:rsidRPr="00431BA7">
        <w:rPr>
          <w:sz w:val="24"/>
          <w:szCs w:val="24"/>
        </w:rPr>
        <w:t xml:space="preserve">The process for </w:t>
      </w:r>
      <w:r w:rsidR="009E7A09" w:rsidRPr="00431BA7">
        <w:rPr>
          <w:sz w:val="24"/>
          <w:szCs w:val="24"/>
        </w:rPr>
        <w:t xml:space="preserve">disclosing such information was established </w:t>
      </w:r>
      <w:r w:rsidR="002D4B6F" w:rsidRPr="00431BA7">
        <w:rPr>
          <w:sz w:val="24"/>
          <w:szCs w:val="24"/>
        </w:rPr>
        <w:t xml:space="preserve">in 1978 </w:t>
      </w:r>
      <w:r w:rsidR="00E67836" w:rsidRPr="00431BA7">
        <w:rPr>
          <w:sz w:val="24"/>
          <w:szCs w:val="24"/>
        </w:rPr>
        <w:t xml:space="preserve">in </w:t>
      </w:r>
      <w:r w:rsidR="00F10E33" w:rsidRPr="00431BA7">
        <w:rPr>
          <w:sz w:val="24"/>
          <w:szCs w:val="24"/>
        </w:rPr>
        <w:t xml:space="preserve">40 CFR </w:t>
      </w:r>
      <w:proofErr w:type="gramStart"/>
      <w:r w:rsidR="00F10E33" w:rsidRPr="00431BA7">
        <w:rPr>
          <w:sz w:val="24"/>
          <w:szCs w:val="24"/>
        </w:rPr>
        <w:t xml:space="preserve">2.306(k), </w:t>
      </w:r>
      <w:r w:rsidR="002D4B6F" w:rsidRPr="00431BA7">
        <w:rPr>
          <w:sz w:val="24"/>
          <w:szCs w:val="24"/>
        </w:rPr>
        <w:t>and</w:t>
      </w:r>
      <w:proofErr w:type="gramEnd"/>
      <w:r w:rsidR="002D4B6F" w:rsidRPr="00431BA7">
        <w:rPr>
          <w:sz w:val="24"/>
          <w:szCs w:val="24"/>
        </w:rPr>
        <w:t xml:space="preserve"> </w:t>
      </w:r>
      <w:r w:rsidR="006118D3" w:rsidRPr="00431BA7">
        <w:rPr>
          <w:sz w:val="24"/>
          <w:szCs w:val="24"/>
        </w:rPr>
        <w:t xml:space="preserve">required a determination from the program office and </w:t>
      </w:r>
      <w:r w:rsidR="00F10E33" w:rsidRPr="00431BA7">
        <w:rPr>
          <w:sz w:val="24"/>
          <w:szCs w:val="24"/>
        </w:rPr>
        <w:t>notice to the General Counsel’s office for a final determination</w:t>
      </w:r>
      <w:r w:rsidR="008C531A" w:rsidRPr="00431BA7">
        <w:rPr>
          <w:sz w:val="24"/>
          <w:szCs w:val="24"/>
        </w:rPr>
        <w:t>—OGC’s final determination is focused on whether the disclosure is “necessary,” not on second-guessing the program office’s risk determination</w:t>
      </w:r>
      <w:r w:rsidR="00F10E33" w:rsidRPr="00431BA7">
        <w:rPr>
          <w:sz w:val="24"/>
          <w:szCs w:val="24"/>
        </w:rPr>
        <w:t xml:space="preserve">. </w:t>
      </w:r>
    </w:p>
    <w:p w14:paraId="029CCF39" w14:textId="7775A8FE" w:rsidR="005445F4" w:rsidRPr="00431BA7" w:rsidRDefault="00DE25BD">
      <w:pPr>
        <w:rPr>
          <w:color w:val="00B050"/>
          <w:sz w:val="24"/>
          <w:szCs w:val="24"/>
        </w:rPr>
      </w:pPr>
      <w:r w:rsidRPr="00431BA7">
        <w:rPr>
          <w:sz w:val="24"/>
          <w:szCs w:val="24"/>
        </w:rPr>
        <w:t xml:space="preserve">EPA did not propose, nor is it finalizing, either substantive criteria for making the necessary “risk” determination under section 14(d)(3) or any change in the roles of the Agency offices involved. </w:t>
      </w:r>
      <w:r w:rsidR="009F57D7" w:rsidRPr="00431BA7">
        <w:rPr>
          <w:sz w:val="24"/>
          <w:szCs w:val="24"/>
        </w:rPr>
        <w:t xml:space="preserve">EPA </w:t>
      </w:r>
      <w:r w:rsidR="00E73B6B" w:rsidRPr="00431BA7">
        <w:rPr>
          <w:sz w:val="24"/>
          <w:szCs w:val="24"/>
        </w:rPr>
        <w:t xml:space="preserve">has retained the same </w:t>
      </w:r>
      <w:r w:rsidR="003636D6" w:rsidRPr="00431BA7">
        <w:rPr>
          <w:sz w:val="24"/>
          <w:szCs w:val="24"/>
        </w:rPr>
        <w:t>process in the final rule</w:t>
      </w:r>
      <w:r w:rsidR="00F23AB3" w:rsidRPr="00431BA7">
        <w:rPr>
          <w:sz w:val="24"/>
          <w:szCs w:val="24"/>
        </w:rPr>
        <w:t xml:space="preserve">, with </w:t>
      </w:r>
      <w:r w:rsidR="00E11537" w:rsidRPr="00431BA7">
        <w:rPr>
          <w:sz w:val="24"/>
          <w:szCs w:val="24"/>
        </w:rPr>
        <w:t>updates</w:t>
      </w:r>
      <w:r w:rsidR="005279CB" w:rsidRPr="00431BA7">
        <w:rPr>
          <w:sz w:val="24"/>
          <w:szCs w:val="24"/>
        </w:rPr>
        <w:t xml:space="preserve"> only</w:t>
      </w:r>
      <w:r w:rsidR="00E11537" w:rsidRPr="00431BA7">
        <w:rPr>
          <w:sz w:val="24"/>
          <w:szCs w:val="24"/>
        </w:rPr>
        <w:t xml:space="preserve"> to reflect the revised </w:t>
      </w:r>
      <w:r w:rsidR="00AA46E9" w:rsidRPr="00431BA7">
        <w:rPr>
          <w:sz w:val="24"/>
          <w:szCs w:val="24"/>
        </w:rPr>
        <w:t xml:space="preserve">risk determination at section 14(d)(3) and </w:t>
      </w:r>
      <w:r w:rsidR="00E11537" w:rsidRPr="00431BA7">
        <w:rPr>
          <w:sz w:val="24"/>
          <w:szCs w:val="24"/>
        </w:rPr>
        <w:t xml:space="preserve">notice requirement in </w:t>
      </w:r>
      <w:r w:rsidR="007A09DD" w:rsidRPr="00431BA7">
        <w:rPr>
          <w:sz w:val="24"/>
          <w:szCs w:val="24"/>
        </w:rPr>
        <w:t>section 14(g)(2)(</w:t>
      </w:r>
      <w:r w:rsidR="004A6295" w:rsidRPr="00431BA7">
        <w:rPr>
          <w:sz w:val="24"/>
          <w:szCs w:val="24"/>
        </w:rPr>
        <w:t>C)(i)</w:t>
      </w:r>
      <w:r w:rsidR="003636D6" w:rsidRPr="00431BA7">
        <w:rPr>
          <w:sz w:val="24"/>
          <w:szCs w:val="24"/>
        </w:rPr>
        <w:t xml:space="preserve">. </w:t>
      </w:r>
      <w:r w:rsidR="002F1103" w:rsidRPr="00431BA7">
        <w:rPr>
          <w:sz w:val="24"/>
          <w:szCs w:val="24"/>
        </w:rPr>
        <w:t xml:space="preserve">The final rule corrects one </w:t>
      </w:r>
      <w:r w:rsidR="002E2A32" w:rsidRPr="00431BA7">
        <w:rPr>
          <w:sz w:val="24"/>
          <w:szCs w:val="24"/>
        </w:rPr>
        <w:t>inconsistency with the statute in the proposed rule, changing “may be disclosed” to “shall be disclosed</w:t>
      </w:r>
      <w:r w:rsidR="008D6164" w:rsidRPr="00431BA7">
        <w:rPr>
          <w:sz w:val="24"/>
          <w:szCs w:val="24"/>
        </w:rPr>
        <w:t>.</w:t>
      </w:r>
      <w:r w:rsidR="002E2A32" w:rsidRPr="00431BA7">
        <w:rPr>
          <w:sz w:val="24"/>
          <w:szCs w:val="24"/>
        </w:rPr>
        <w:t>”</w:t>
      </w:r>
      <w:r w:rsidR="007B4F0A" w:rsidRPr="00431BA7">
        <w:rPr>
          <w:sz w:val="24"/>
          <w:szCs w:val="24"/>
        </w:rPr>
        <w:t xml:space="preserve">  Further elaboration on how</w:t>
      </w:r>
      <w:r w:rsidR="004F7821" w:rsidRPr="00431BA7">
        <w:rPr>
          <w:sz w:val="24"/>
          <w:szCs w:val="24"/>
        </w:rPr>
        <w:t xml:space="preserve"> </w:t>
      </w:r>
      <w:r w:rsidR="009835F2" w:rsidRPr="00431BA7">
        <w:rPr>
          <w:sz w:val="24"/>
          <w:szCs w:val="24"/>
        </w:rPr>
        <w:t xml:space="preserve">section </w:t>
      </w:r>
      <w:r w:rsidR="007B4F0A" w:rsidRPr="00431BA7">
        <w:rPr>
          <w:sz w:val="24"/>
          <w:szCs w:val="24"/>
        </w:rPr>
        <w:t>14(d)(3) disclosures would be made</w:t>
      </w:r>
      <w:r w:rsidR="00350561" w:rsidRPr="00431BA7">
        <w:rPr>
          <w:sz w:val="24"/>
          <w:szCs w:val="24"/>
        </w:rPr>
        <w:t>, including when unreasonable risk to workers or potentially exposed or susceptible sub</w:t>
      </w:r>
      <w:r w:rsidR="000E7496" w:rsidRPr="00431BA7">
        <w:rPr>
          <w:sz w:val="24"/>
          <w:szCs w:val="24"/>
        </w:rPr>
        <w:t>populations may be identified,</w:t>
      </w:r>
      <w:r w:rsidR="007B4F0A" w:rsidRPr="00431BA7">
        <w:rPr>
          <w:sz w:val="24"/>
          <w:szCs w:val="24"/>
        </w:rPr>
        <w:t xml:space="preserve"> is beyond the scope of this rulemaking.</w:t>
      </w:r>
    </w:p>
    <w:p w14:paraId="6062A684" w14:textId="77777777" w:rsidR="008B1538" w:rsidRPr="00431BA7" w:rsidRDefault="00073403" w:rsidP="005445F4">
      <w:pPr>
        <w:rPr>
          <w:rFonts w:cstheme="minorHAnsi"/>
          <w:iCs/>
          <w:sz w:val="24"/>
          <w:szCs w:val="24"/>
        </w:rPr>
      </w:pPr>
      <w:r w:rsidRPr="00431BA7">
        <w:rPr>
          <w:rFonts w:cstheme="minorHAnsi"/>
          <w:b/>
          <w:iCs/>
          <w:sz w:val="24"/>
          <w:szCs w:val="24"/>
        </w:rPr>
        <w:t>Comment</w:t>
      </w:r>
      <w:r w:rsidR="001D597E" w:rsidRPr="00431BA7">
        <w:rPr>
          <w:rFonts w:cstheme="minorHAnsi"/>
          <w:b/>
          <w:iCs/>
          <w:sz w:val="24"/>
          <w:szCs w:val="24"/>
        </w:rPr>
        <w:t xml:space="preserve">: </w:t>
      </w:r>
      <w:r w:rsidR="001D597E" w:rsidRPr="00431BA7">
        <w:rPr>
          <w:rFonts w:cstheme="minorHAnsi"/>
          <w:iCs/>
          <w:sz w:val="24"/>
          <w:szCs w:val="24"/>
        </w:rPr>
        <w:t>A few commenters noted that the proposed rule did not elaborate on all notification periods listed in section 14, or that in some cases, the proposed rule required notifications that are not required by TSCA.</w:t>
      </w:r>
    </w:p>
    <w:p w14:paraId="714D8746" w14:textId="33F78C99" w:rsidR="001D597E" w:rsidRPr="00431BA7" w:rsidRDefault="008B1538" w:rsidP="005445F4">
      <w:pPr>
        <w:rPr>
          <w:rFonts w:cstheme="minorHAnsi"/>
          <w:iCs/>
          <w:sz w:val="24"/>
          <w:szCs w:val="24"/>
        </w:rPr>
      </w:pPr>
      <w:r w:rsidRPr="00431BA7">
        <w:rPr>
          <w:rFonts w:cstheme="minorHAnsi"/>
          <w:iCs/>
          <w:sz w:val="24"/>
          <w:szCs w:val="24"/>
        </w:rPr>
        <w:t xml:space="preserve">Source: </w:t>
      </w:r>
      <w:r w:rsidR="00342957" w:rsidRPr="00431BA7">
        <w:rPr>
          <w:rFonts w:cstheme="minorHAnsi"/>
          <w:iCs/>
          <w:sz w:val="24"/>
          <w:szCs w:val="24"/>
        </w:rPr>
        <w:t>-</w:t>
      </w:r>
      <w:r w:rsidR="00B6607E" w:rsidRPr="00431BA7">
        <w:rPr>
          <w:rFonts w:cstheme="minorHAnsi"/>
          <w:iCs/>
          <w:sz w:val="24"/>
          <w:szCs w:val="24"/>
        </w:rPr>
        <w:t xml:space="preserve">0050; </w:t>
      </w:r>
      <w:r w:rsidR="00342957" w:rsidRPr="00431BA7">
        <w:rPr>
          <w:rFonts w:cstheme="minorHAnsi"/>
          <w:iCs/>
          <w:sz w:val="24"/>
          <w:szCs w:val="24"/>
        </w:rPr>
        <w:t>-</w:t>
      </w:r>
      <w:r w:rsidR="00B6607E" w:rsidRPr="00431BA7">
        <w:rPr>
          <w:rFonts w:cstheme="minorHAnsi"/>
          <w:sz w:val="24"/>
          <w:szCs w:val="24"/>
        </w:rPr>
        <w:t>0052</w:t>
      </w:r>
    </w:p>
    <w:p w14:paraId="5D84E521" w14:textId="112B19E9" w:rsidR="00497EBF" w:rsidRPr="00431BA7" w:rsidRDefault="00060C02" w:rsidP="005445F4">
      <w:pPr>
        <w:rPr>
          <w:rFonts w:cstheme="minorHAnsi"/>
          <w:sz w:val="24"/>
          <w:szCs w:val="24"/>
        </w:rPr>
      </w:pPr>
      <w:r w:rsidRPr="00431BA7">
        <w:rPr>
          <w:rFonts w:cstheme="minorHAnsi"/>
          <w:b/>
          <w:iCs/>
          <w:sz w:val="24"/>
          <w:szCs w:val="24"/>
        </w:rPr>
        <w:t>Response</w:t>
      </w:r>
      <w:r w:rsidR="0039478C" w:rsidRPr="00431BA7">
        <w:rPr>
          <w:rFonts w:cstheme="minorHAnsi"/>
          <w:b/>
          <w:iCs/>
          <w:sz w:val="24"/>
          <w:szCs w:val="24"/>
        </w:rPr>
        <w:t>:</w:t>
      </w:r>
      <w:r w:rsidR="00FC2BBA" w:rsidRPr="00431BA7">
        <w:rPr>
          <w:rFonts w:cstheme="minorHAnsi"/>
          <w:b/>
          <w:iCs/>
          <w:sz w:val="24"/>
          <w:szCs w:val="24"/>
        </w:rPr>
        <w:t xml:space="preserve">  </w:t>
      </w:r>
      <w:r w:rsidR="00497EBF" w:rsidRPr="00431BA7">
        <w:rPr>
          <w:rFonts w:cstheme="minorHAnsi"/>
          <w:bCs/>
          <w:iCs/>
          <w:sz w:val="24"/>
          <w:szCs w:val="24"/>
        </w:rPr>
        <w:t xml:space="preserve">For </w:t>
      </w:r>
      <w:r w:rsidR="005C40A2" w:rsidRPr="00431BA7">
        <w:rPr>
          <w:rFonts w:cstheme="minorHAnsi"/>
          <w:bCs/>
          <w:iCs/>
          <w:sz w:val="24"/>
          <w:szCs w:val="24"/>
        </w:rPr>
        <w:t>two</w:t>
      </w:r>
      <w:r w:rsidR="00497EBF" w:rsidRPr="00431BA7">
        <w:rPr>
          <w:rFonts w:cstheme="minorHAnsi"/>
          <w:bCs/>
          <w:iCs/>
          <w:sz w:val="24"/>
          <w:szCs w:val="24"/>
        </w:rPr>
        <w:t xml:space="preserve"> </w:t>
      </w:r>
      <w:r w:rsidR="00F45E6B" w:rsidRPr="00431BA7">
        <w:rPr>
          <w:rFonts w:cstheme="minorHAnsi"/>
          <w:bCs/>
          <w:iCs/>
          <w:sz w:val="24"/>
          <w:szCs w:val="24"/>
        </w:rPr>
        <w:t xml:space="preserve">notice requirements in section 14, EPA is not repeating the notice requirement in the </w:t>
      </w:r>
      <w:r w:rsidR="00FA00DE" w:rsidRPr="00431BA7">
        <w:rPr>
          <w:rFonts w:cstheme="minorHAnsi"/>
          <w:bCs/>
          <w:iCs/>
          <w:sz w:val="24"/>
          <w:szCs w:val="24"/>
        </w:rPr>
        <w:t>final regulation (</w:t>
      </w:r>
      <w:r w:rsidR="00AC2FA5" w:rsidRPr="00431BA7">
        <w:rPr>
          <w:rFonts w:cstheme="minorHAnsi"/>
          <w:bCs/>
          <w:iCs/>
          <w:sz w:val="24"/>
          <w:szCs w:val="24"/>
        </w:rPr>
        <w:t xml:space="preserve">the notice requirements pertaining to </w:t>
      </w:r>
      <w:r w:rsidR="00FA00DE" w:rsidRPr="00431BA7">
        <w:rPr>
          <w:rFonts w:cstheme="minorHAnsi"/>
          <w:bCs/>
          <w:iCs/>
          <w:sz w:val="24"/>
          <w:szCs w:val="24"/>
        </w:rPr>
        <w:t>sections</w:t>
      </w:r>
      <w:r w:rsidR="00AC2FA5" w:rsidRPr="00431BA7">
        <w:rPr>
          <w:rFonts w:cstheme="minorHAnsi"/>
          <w:bCs/>
          <w:iCs/>
          <w:sz w:val="24"/>
          <w:szCs w:val="24"/>
        </w:rPr>
        <w:t xml:space="preserve"> 14(b)(4) and 14(d)(8)).</w:t>
      </w:r>
      <w:r w:rsidR="00FA00DE" w:rsidRPr="00431BA7">
        <w:rPr>
          <w:rFonts w:cstheme="minorHAnsi"/>
          <w:bCs/>
          <w:sz w:val="24"/>
          <w:szCs w:val="24"/>
        </w:rPr>
        <w:t xml:space="preserve"> </w:t>
      </w:r>
      <w:r w:rsidR="00FC2BBA" w:rsidRPr="00431BA7">
        <w:rPr>
          <w:rFonts w:cstheme="minorHAnsi"/>
          <w:sz w:val="24"/>
          <w:szCs w:val="24"/>
        </w:rPr>
        <w:t>Where the statutory requirement is evident on its face, there is generally no need to repeat it in the regulations.  As the D.C. Circuit noted in recent litigation also touching on section 14 of TSCA, “</w:t>
      </w:r>
      <w:r w:rsidR="00DE3B3D" w:rsidRPr="00431BA7">
        <w:rPr>
          <w:rFonts w:cstheme="minorHAnsi"/>
          <w:sz w:val="24"/>
          <w:szCs w:val="24"/>
        </w:rPr>
        <w:t>t</w:t>
      </w:r>
      <w:r w:rsidR="00FC2BBA" w:rsidRPr="00431BA7">
        <w:rPr>
          <w:rFonts w:cstheme="minorHAnsi"/>
          <w:sz w:val="24"/>
          <w:szCs w:val="24"/>
        </w:rPr>
        <w:t xml:space="preserve">here is nothing facially troubling about the failure to copy every relevant statutory obligation into the regulation.”  </w:t>
      </w:r>
      <w:r w:rsidR="00FC2BBA" w:rsidRPr="00431BA7">
        <w:rPr>
          <w:rFonts w:cstheme="minorHAnsi"/>
          <w:i/>
          <w:sz w:val="24"/>
          <w:szCs w:val="24"/>
        </w:rPr>
        <w:t xml:space="preserve">EDF v. </w:t>
      </w:r>
      <w:r w:rsidR="002460DF" w:rsidRPr="00431BA7">
        <w:rPr>
          <w:rFonts w:cstheme="minorHAnsi"/>
          <w:i/>
          <w:sz w:val="24"/>
          <w:szCs w:val="24"/>
        </w:rPr>
        <w:t>EPA</w:t>
      </w:r>
      <w:r w:rsidR="00FC2BBA" w:rsidRPr="00431BA7">
        <w:rPr>
          <w:rFonts w:cstheme="minorHAnsi"/>
          <w:sz w:val="24"/>
          <w:szCs w:val="24"/>
        </w:rPr>
        <w:t>, 922 F.3d 446</w:t>
      </w:r>
      <w:r w:rsidR="009C3B43" w:rsidRPr="00431BA7">
        <w:rPr>
          <w:rFonts w:cstheme="minorHAnsi"/>
          <w:sz w:val="24"/>
          <w:szCs w:val="24"/>
        </w:rPr>
        <w:t>, 457</w:t>
      </w:r>
      <w:r w:rsidR="00FC2BBA" w:rsidRPr="00431BA7">
        <w:rPr>
          <w:rFonts w:cstheme="minorHAnsi"/>
          <w:sz w:val="24"/>
          <w:szCs w:val="24"/>
        </w:rPr>
        <w:t xml:space="preserve"> (D.C. Cir. 2019)</w:t>
      </w:r>
      <w:r w:rsidR="00B93360" w:rsidRPr="00431BA7">
        <w:rPr>
          <w:rFonts w:cstheme="minorHAnsi"/>
          <w:sz w:val="24"/>
          <w:szCs w:val="24"/>
        </w:rPr>
        <w:t xml:space="preserve"> (quoting </w:t>
      </w:r>
      <w:r w:rsidR="00B93360" w:rsidRPr="00431BA7">
        <w:rPr>
          <w:rFonts w:cstheme="minorHAnsi"/>
          <w:i/>
          <w:sz w:val="24"/>
          <w:szCs w:val="24"/>
        </w:rPr>
        <w:t>Texas v. EPA</w:t>
      </w:r>
      <w:r w:rsidR="00B93360" w:rsidRPr="00431BA7">
        <w:rPr>
          <w:rFonts w:cstheme="minorHAnsi"/>
          <w:sz w:val="24"/>
          <w:szCs w:val="24"/>
        </w:rPr>
        <w:t>, 726 F.3d 180, 195 (D.C. Cir. 2013</w:t>
      </w:r>
      <w:r w:rsidR="00B93360" w:rsidRPr="00431BA7" w:rsidDel="00B93360">
        <w:rPr>
          <w:rFonts w:cstheme="minorHAnsi"/>
          <w:sz w:val="24"/>
          <w:szCs w:val="24"/>
        </w:rPr>
        <w:t>)</w:t>
      </w:r>
      <w:r w:rsidR="00B93360" w:rsidRPr="00431BA7" w:rsidDel="00F27831">
        <w:rPr>
          <w:rFonts w:cstheme="minorHAnsi"/>
          <w:sz w:val="24"/>
          <w:szCs w:val="24"/>
        </w:rPr>
        <w:t>)</w:t>
      </w:r>
      <w:r w:rsidR="00FC2BBA" w:rsidRPr="00431BA7">
        <w:rPr>
          <w:rFonts w:cstheme="minorHAnsi"/>
          <w:sz w:val="24"/>
          <w:szCs w:val="24"/>
        </w:rPr>
        <w:t>.</w:t>
      </w:r>
    </w:p>
    <w:p w14:paraId="3A94D8A4" w14:textId="26411EA0" w:rsidR="00067337" w:rsidRPr="00431BA7" w:rsidRDefault="00067337" w:rsidP="005445F4">
      <w:pPr>
        <w:rPr>
          <w:rFonts w:cstheme="minorHAnsi"/>
          <w:sz w:val="24"/>
          <w:szCs w:val="24"/>
        </w:rPr>
      </w:pPr>
      <w:r w:rsidRPr="00431BA7">
        <w:rPr>
          <w:rFonts w:cstheme="minorHAnsi"/>
          <w:sz w:val="24"/>
          <w:szCs w:val="24"/>
        </w:rPr>
        <w:lastRenderedPageBreak/>
        <w:t xml:space="preserve">However, </w:t>
      </w:r>
      <w:r w:rsidR="00C03267" w:rsidRPr="00431BA7">
        <w:rPr>
          <w:rFonts w:cstheme="minorHAnsi"/>
          <w:sz w:val="24"/>
          <w:szCs w:val="24"/>
        </w:rPr>
        <w:t xml:space="preserve">in the final rule </w:t>
      </w:r>
      <w:r w:rsidRPr="00431BA7">
        <w:rPr>
          <w:rFonts w:cstheme="minorHAnsi"/>
          <w:sz w:val="24"/>
          <w:szCs w:val="24"/>
        </w:rPr>
        <w:t xml:space="preserve">EPA has </w:t>
      </w:r>
      <w:r w:rsidR="00C03267" w:rsidRPr="00431BA7">
        <w:rPr>
          <w:rFonts w:cstheme="minorHAnsi"/>
          <w:sz w:val="24"/>
          <w:szCs w:val="24"/>
        </w:rPr>
        <w:t>clarified that</w:t>
      </w:r>
      <w:r w:rsidRPr="00431BA7">
        <w:rPr>
          <w:rFonts w:cstheme="minorHAnsi"/>
          <w:sz w:val="24"/>
          <w:szCs w:val="24"/>
        </w:rPr>
        <w:t xml:space="preserve"> </w:t>
      </w:r>
      <w:r w:rsidR="006B35C5" w:rsidRPr="00431BA7">
        <w:rPr>
          <w:rFonts w:cstheme="minorHAnsi"/>
          <w:sz w:val="24"/>
          <w:szCs w:val="24"/>
        </w:rPr>
        <w:t xml:space="preserve">several of the </w:t>
      </w:r>
      <w:r w:rsidR="00AF7655" w:rsidRPr="00431BA7">
        <w:rPr>
          <w:rFonts w:cstheme="minorHAnsi"/>
          <w:sz w:val="24"/>
          <w:szCs w:val="24"/>
        </w:rPr>
        <w:t xml:space="preserve">existing </w:t>
      </w:r>
      <w:r w:rsidR="00014719" w:rsidRPr="00431BA7">
        <w:rPr>
          <w:rFonts w:cstheme="minorHAnsi"/>
          <w:sz w:val="24"/>
          <w:szCs w:val="24"/>
        </w:rPr>
        <w:t>processes for disclosure pursuant to provisions in section 14(d)</w:t>
      </w:r>
      <w:r w:rsidR="008D7B15" w:rsidRPr="00431BA7">
        <w:rPr>
          <w:rFonts w:cstheme="minorHAnsi"/>
          <w:sz w:val="24"/>
          <w:szCs w:val="24"/>
        </w:rPr>
        <w:t>, including the notice requirements</w:t>
      </w:r>
      <w:r w:rsidR="00C03267" w:rsidRPr="00431BA7">
        <w:rPr>
          <w:rFonts w:cstheme="minorHAnsi"/>
          <w:sz w:val="24"/>
          <w:szCs w:val="24"/>
        </w:rPr>
        <w:t>, continue to apply</w:t>
      </w:r>
      <w:r w:rsidR="008D7B15" w:rsidRPr="00431BA7">
        <w:rPr>
          <w:rFonts w:cstheme="minorHAnsi"/>
          <w:sz w:val="24"/>
          <w:szCs w:val="24"/>
        </w:rPr>
        <w:t xml:space="preserve">. </w:t>
      </w:r>
    </w:p>
    <w:p w14:paraId="3439C603" w14:textId="7EDF3B2C" w:rsidR="00D174C1" w:rsidRPr="00431BA7" w:rsidRDefault="00BD6532" w:rsidP="00D174C1">
      <w:pPr>
        <w:rPr>
          <w:sz w:val="24"/>
          <w:szCs w:val="24"/>
        </w:rPr>
      </w:pPr>
      <w:r w:rsidRPr="00431BA7">
        <w:rPr>
          <w:sz w:val="24"/>
          <w:szCs w:val="24"/>
        </w:rPr>
        <w:t>TSCA section 14(g)(</w:t>
      </w:r>
      <w:r w:rsidR="00712A77" w:rsidRPr="00431BA7">
        <w:rPr>
          <w:sz w:val="24"/>
          <w:szCs w:val="24"/>
        </w:rPr>
        <w:t>2)</w:t>
      </w:r>
      <w:r w:rsidR="00C274C4" w:rsidRPr="00431BA7">
        <w:rPr>
          <w:sz w:val="24"/>
          <w:szCs w:val="24"/>
        </w:rPr>
        <w:t>(C)(iii) states that</w:t>
      </w:r>
      <w:r w:rsidR="005367C1" w:rsidRPr="00431BA7">
        <w:rPr>
          <w:sz w:val="24"/>
          <w:szCs w:val="24"/>
        </w:rPr>
        <w:t xml:space="preserve"> </w:t>
      </w:r>
      <w:r w:rsidR="00E67035" w:rsidRPr="00431BA7">
        <w:rPr>
          <w:sz w:val="24"/>
          <w:szCs w:val="24"/>
        </w:rPr>
        <w:t>“[n]</w:t>
      </w:r>
      <w:proofErr w:type="spellStart"/>
      <w:r w:rsidR="00E67035" w:rsidRPr="00431BA7">
        <w:rPr>
          <w:sz w:val="24"/>
          <w:szCs w:val="24"/>
        </w:rPr>
        <w:t>otification</w:t>
      </w:r>
      <w:proofErr w:type="spellEnd"/>
      <w:r w:rsidR="00E67035" w:rsidRPr="00431BA7">
        <w:rPr>
          <w:sz w:val="24"/>
          <w:szCs w:val="24"/>
        </w:rPr>
        <w:t xml:space="preserve"> shall not be required” for the disclosure of information pursuant to section</w:t>
      </w:r>
      <w:r w:rsidR="004248C6" w:rsidRPr="00431BA7">
        <w:rPr>
          <w:sz w:val="24"/>
          <w:szCs w:val="24"/>
        </w:rPr>
        <w:t xml:space="preserve">s 14(d)(1), (2), (7), or (8). </w:t>
      </w:r>
      <w:r w:rsidR="00243427" w:rsidRPr="00431BA7">
        <w:rPr>
          <w:sz w:val="24"/>
          <w:szCs w:val="24"/>
        </w:rPr>
        <w:t>The final rule does not</w:t>
      </w:r>
      <w:r w:rsidR="009A6CE1" w:rsidRPr="00431BA7">
        <w:rPr>
          <w:sz w:val="24"/>
          <w:szCs w:val="24"/>
        </w:rPr>
        <w:t xml:space="preserve"> require additional </w:t>
      </w:r>
      <w:r w:rsidR="0023486A" w:rsidRPr="00431BA7">
        <w:rPr>
          <w:sz w:val="24"/>
          <w:szCs w:val="24"/>
        </w:rPr>
        <w:t xml:space="preserve">process prior to disclosure under section 14(d)(8). However, EPA has retained the existing procedures </w:t>
      </w:r>
      <w:r w:rsidR="000440B9" w:rsidRPr="00431BA7">
        <w:rPr>
          <w:sz w:val="24"/>
          <w:szCs w:val="24"/>
        </w:rPr>
        <w:t xml:space="preserve">for disclosure pursuant to 14(d)(1), (2), and (7). </w:t>
      </w:r>
      <w:r w:rsidR="009835F2" w:rsidRPr="00431BA7">
        <w:rPr>
          <w:sz w:val="24"/>
          <w:szCs w:val="24"/>
        </w:rPr>
        <w:t xml:space="preserve"> </w:t>
      </w:r>
      <w:r w:rsidR="005868AF" w:rsidRPr="00431BA7">
        <w:rPr>
          <w:sz w:val="24"/>
          <w:szCs w:val="24"/>
        </w:rPr>
        <w:t xml:space="preserve">Although TSCA does not require notice in such circumstances, </w:t>
      </w:r>
      <w:r w:rsidR="00D174C1" w:rsidRPr="00431BA7">
        <w:rPr>
          <w:sz w:val="24"/>
          <w:szCs w:val="24"/>
        </w:rPr>
        <w:t xml:space="preserve">neither does it </w:t>
      </w:r>
      <w:r w:rsidR="00D174C1" w:rsidRPr="00431BA7">
        <w:rPr>
          <w:rFonts w:eastAsia="SimSun"/>
          <w:sz w:val="24"/>
          <w:szCs w:val="24"/>
        </w:rPr>
        <w:t>prohibit providing notice</w:t>
      </w:r>
      <w:r w:rsidR="00C30EA6" w:rsidRPr="00431BA7">
        <w:rPr>
          <w:rFonts w:eastAsia="SimSun"/>
          <w:sz w:val="24"/>
          <w:szCs w:val="24"/>
        </w:rPr>
        <w:t>.</w:t>
      </w:r>
      <w:r w:rsidR="00D174C1" w:rsidRPr="00431BA7">
        <w:rPr>
          <w:rFonts w:eastAsia="SimSun"/>
          <w:sz w:val="24"/>
          <w:szCs w:val="24"/>
        </w:rPr>
        <w:t xml:space="preserve">  </w:t>
      </w:r>
      <w:r w:rsidR="00C30EA6" w:rsidRPr="00431BA7">
        <w:rPr>
          <w:rFonts w:eastAsia="SimSun"/>
          <w:sz w:val="24"/>
          <w:szCs w:val="24"/>
        </w:rPr>
        <w:t>E</w:t>
      </w:r>
      <w:r w:rsidR="00D174C1" w:rsidRPr="00431BA7">
        <w:rPr>
          <w:rFonts w:eastAsia="SimSun"/>
          <w:sz w:val="24"/>
          <w:szCs w:val="24"/>
        </w:rPr>
        <w:t>specially in the case of</w:t>
      </w:r>
      <w:r w:rsidR="00D174C1" w:rsidRPr="00431BA7" w:rsidDel="00C30EA6">
        <w:rPr>
          <w:rFonts w:eastAsia="SimSun"/>
          <w:sz w:val="24"/>
          <w:szCs w:val="24"/>
        </w:rPr>
        <w:t xml:space="preserve"> </w:t>
      </w:r>
      <w:r w:rsidR="00C30EA6" w:rsidRPr="00431BA7">
        <w:rPr>
          <w:rFonts w:eastAsia="SimSun"/>
          <w:sz w:val="24"/>
          <w:szCs w:val="24"/>
        </w:rPr>
        <w:t xml:space="preserve">these three </w:t>
      </w:r>
      <w:r w:rsidR="00D174C1" w:rsidRPr="00431BA7">
        <w:rPr>
          <w:rFonts w:eastAsia="SimSun"/>
          <w:sz w:val="24"/>
          <w:szCs w:val="24"/>
        </w:rPr>
        <w:t>disclosure provisions, providing notice to the person who asserted the CBI claim does not tend to significantly increase Agency burden or diminish the public availability of information. Providing notice would also tend to reduce confusion for the person who asserted the CBI claim and reduce the possibility of unnecessary conflict over the handling of the information.</w:t>
      </w:r>
      <w:r w:rsidR="00051DD8" w:rsidRPr="00431BA7">
        <w:rPr>
          <w:rFonts w:eastAsia="SimSun"/>
          <w:sz w:val="24"/>
          <w:szCs w:val="24"/>
        </w:rPr>
        <w:t xml:space="preserve"> Further, providing notice of disclosure in these circumstances does not affect what information is ultimately shared outside the Agency, so the level of transparency is not impacted. </w:t>
      </w:r>
    </w:p>
    <w:p w14:paraId="64CEA6B0" w14:textId="77777777" w:rsidR="008B1538" w:rsidRPr="00431BA7" w:rsidRDefault="009C6833" w:rsidP="005445F4">
      <w:pPr>
        <w:rPr>
          <w:rFonts w:cstheme="minorHAnsi"/>
          <w:sz w:val="24"/>
          <w:szCs w:val="24"/>
        </w:rPr>
      </w:pPr>
      <w:r w:rsidRPr="00431BA7">
        <w:rPr>
          <w:rFonts w:cstheme="minorHAnsi"/>
          <w:b/>
          <w:bCs/>
          <w:sz w:val="24"/>
          <w:szCs w:val="24"/>
        </w:rPr>
        <w:t xml:space="preserve">Comment: </w:t>
      </w:r>
      <w:r w:rsidRPr="00431BA7">
        <w:rPr>
          <w:rFonts w:cstheme="minorHAnsi"/>
          <w:sz w:val="24"/>
          <w:szCs w:val="24"/>
        </w:rPr>
        <w:t>A commenter pointed out that language in proposed 40 CFR 2.306(d) implied that disclosure under TSCA section 14(d)(4), (5), or (6) was discretionary, noting that disclosure pursuant to these provisions is non-discretionary.</w:t>
      </w:r>
    </w:p>
    <w:p w14:paraId="71FC8CC9" w14:textId="507C0ECE" w:rsidR="009C6833" w:rsidRPr="00431BA7" w:rsidRDefault="008B1538" w:rsidP="005445F4">
      <w:pPr>
        <w:rPr>
          <w:rFonts w:cstheme="minorHAnsi"/>
          <w:b/>
          <w:bCs/>
          <w:sz w:val="24"/>
          <w:szCs w:val="24"/>
        </w:rPr>
      </w:pPr>
      <w:r w:rsidRPr="00431BA7">
        <w:rPr>
          <w:rFonts w:cstheme="minorHAnsi"/>
          <w:sz w:val="24"/>
          <w:szCs w:val="24"/>
        </w:rPr>
        <w:t xml:space="preserve">Source: </w:t>
      </w:r>
      <w:r w:rsidR="00342957" w:rsidRPr="00431BA7">
        <w:rPr>
          <w:rFonts w:cstheme="minorHAnsi"/>
          <w:sz w:val="24"/>
          <w:szCs w:val="24"/>
        </w:rPr>
        <w:t>-</w:t>
      </w:r>
      <w:r w:rsidR="00B6607E" w:rsidRPr="00431BA7">
        <w:rPr>
          <w:rFonts w:cstheme="minorHAnsi"/>
          <w:sz w:val="24"/>
          <w:szCs w:val="24"/>
        </w:rPr>
        <w:t>0050</w:t>
      </w:r>
    </w:p>
    <w:p w14:paraId="1E73C860" w14:textId="583E37C5" w:rsidR="005445F4" w:rsidRPr="00431BA7" w:rsidRDefault="00060C02" w:rsidP="002B0EFF">
      <w:pPr>
        <w:spacing w:after="0"/>
        <w:rPr>
          <w:rFonts w:cstheme="minorHAnsi"/>
          <w:sz w:val="24"/>
          <w:szCs w:val="24"/>
        </w:rPr>
      </w:pPr>
      <w:r w:rsidRPr="00431BA7">
        <w:rPr>
          <w:rFonts w:cstheme="minorHAnsi"/>
          <w:b/>
          <w:bCs/>
          <w:sz w:val="24"/>
          <w:szCs w:val="24"/>
        </w:rPr>
        <w:t>Response</w:t>
      </w:r>
      <w:r w:rsidR="0039478C" w:rsidRPr="00431BA7">
        <w:rPr>
          <w:rFonts w:cstheme="minorHAnsi"/>
          <w:b/>
          <w:bCs/>
          <w:sz w:val="24"/>
          <w:szCs w:val="24"/>
        </w:rPr>
        <w:t xml:space="preserve">: </w:t>
      </w:r>
      <w:r w:rsidR="00482F8A" w:rsidRPr="00431BA7">
        <w:rPr>
          <w:rFonts w:cstheme="minorHAnsi"/>
          <w:sz w:val="24"/>
          <w:szCs w:val="24"/>
        </w:rPr>
        <w:t xml:space="preserve"> </w:t>
      </w:r>
      <w:r w:rsidR="001408D6" w:rsidRPr="00431BA7">
        <w:rPr>
          <w:rFonts w:cstheme="minorHAnsi"/>
          <w:sz w:val="24"/>
          <w:szCs w:val="24"/>
        </w:rPr>
        <w:t>The proposed rule</w:t>
      </w:r>
      <w:r w:rsidR="00482F8A" w:rsidRPr="00431BA7">
        <w:rPr>
          <w:rFonts w:cstheme="minorHAnsi"/>
          <w:sz w:val="24"/>
          <w:szCs w:val="24"/>
        </w:rPr>
        <w:t xml:space="preserve"> </w:t>
      </w:r>
      <w:r w:rsidR="0060710E" w:rsidRPr="00431BA7">
        <w:rPr>
          <w:rFonts w:cstheme="minorHAnsi"/>
          <w:sz w:val="24"/>
          <w:szCs w:val="24"/>
        </w:rPr>
        <w:t>was</w:t>
      </w:r>
      <w:r w:rsidR="00751EA5" w:rsidRPr="00431BA7">
        <w:rPr>
          <w:rFonts w:cstheme="minorHAnsi"/>
          <w:sz w:val="24"/>
          <w:szCs w:val="24"/>
        </w:rPr>
        <w:t xml:space="preserve"> not intend</w:t>
      </w:r>
      <w:r w:rsidR="0060710E" w:rsidRPr="00431BA7">
        <w:rPr>
          <w:rFonts w:cstheme="minorHAnsi"/>
          <w:sz w:val="24"/>
          <w:szCs w:val="24"/>
        </w:rPr>
        <w:t>ed</w:t>
      </w:r>
      <w:r w:rsidR="00482F8A" w:rsidRPr="00431BA7">
        <w:rPr>
          <w:rFonts w:cstheme="minorHAnsi"/>
          <w:sz w:val="24"/>
          <w:szCs w:val="24"/>
        </w:rPr>
        <w:t xml:space="preserve"> to suggest that once all the conditions for disclosure are met, disclosure is discretionary. </w:t>
      </w:r>
      <w:r w:rsidR="001408D6" w:rsidRPr="00431BA7">
        <w:rPr>
          <w:rFonts w:cstheme="minorHAnsi"/>
          <w:sz w:val="24"/>
          <w:szCs w:val="24"/>
        </w:rPr>
        <w:t xml:space="preserve">40 CFR 2.306(d) has been revised to clarify that disclosures will be made pursuant to these provisions </w:t>
      </w:r>
      <w:proofErr w:type="gramStart"/>
      <w:r w:rsidR="001408D6" w:rsidRPr="00431BA7">
        <w:rPr>
          <w:rFonts w:cstheme="minorHAnsi"/>
          <w:sz w:val="24"/>
          <w:szCs w:val="24"/>
        </w:rPr>
        <w:t>as long as</w:t>
      </w:r>
      <w:proofErr w:type="gramEnd"/>
      <w:r w:rsidR="001408D6" w:rsidRPr="00431BA7">
        <w:rPr>
          <w:rFonts w:cstheme="minorHAnsi"/>
          <w:sz w:val="24"/>
          <w:szCs w:val="24"/>
        </w:rPr>
        <w:t xml:space="preserve"> all requirements for such disclosures are met.</w:t>
      </w:r>
    </w:p>
    <w:p w14:paraId="70394E53" w14:textId="77777777" w:rsidR="002B0EFF" w:rsidRPr="00431BA7" w:rsidRDefault="002B0EFF" w:rsidP="002B0EFF">
      <w:pPr>
        <w:spacing w:after="0"/>
        <w:rPr>
          <w:rFonts w:cstheme="minorHAnsi"/>
          <w:sz w:val="24"/>
          <w:szCs w:val="24"/>
        </w:rPr>
      </w:pPr>
    </w:p>
    <w:p w14:paraId="7E3872AA" w14:textId="2B3B9FC4" w:rsidR="0024711B" w:rsidRPr="00431BA7" w:rsidRDefault="002D43A4" w:rsidP="00DB00EB">
      <w:pPr>
        <w:pStyle w:val="Heading2"/>
        <w:numPr>
          <w:ilvl w:val="0"/>
          <w:numId w:val="0"/>
        </w:numPr>
        <w:spacing w:before="0"/>
        <w:ind w:left="360" w:hanging="360"/>
      </w:pPr>
      <w:bookmarkStart w:id="3" w:name="_Toc132901181"/>
      <w:r w:rsidRPr="00431BA7">
        <w:t xml:space="preserve">Unit </w:t>
      </w:r>
      <w:r w:rsidR="00E47D5E" w:rsidRPr="00431BA7">
        <w:t>3</w:t>
      </w:r>
      <w:r w:rsidRPr="00431BA7">
        <w:t>. Obtained under TSCA and resolution of conflicts (</w:t>
      </w:r>
      <w:r w:rsidR="00B6654E" w:rsidRPr="00431BA7">
        <w:t xml:space="preserve">40 CFR </w:t>
      </w:r>
      <w:r w:rsidRPr="00431BA7">
        <w:t>703.1)</w:t>
      </w:r>
      <w:bookmarkEnd w:id="3"/>
    </w:p>
    <w:p w14:paraId="1F5CD68B" w14:textId="524CB329" w:rsidR="008B1538" w:rsidRPr="00431BA7" w:rsidRDefault="001D597E" w:rsidP="00DB00EB">
      <w:pPr>
        <w:spacing w:after="0"/>
        <w:rPr>
          <w:rFonts w:cstheme="minorHAnsi"/>
          <w:sz w:val="24"/>
          <w:szCs w:val="24"/>
        </w:rPr>
      </w:pPr>
      <w:r w:rsidRPr="00431BA7">
        <w:rPr>
          <w:rFonts w:cstheme="minorHAnsi"/>
          <w:b/>
          <w:bCs/>
          <w:sz w:val="24"/>
          <w:szCs w:val="24"/>
        </w:rPr>
        <w:t xml:space="preserve">Comment: </w:t>
      </w:r>
      <w:r w:rsidRPr="00431BA7">
        <w:rPr>
          <w:rFonts w:cstheme="minorHAnsi"/>
          <w:sz w:val="24"/>
          <w:szCs w:val="24"/>
        </w:rPr>
        <w:t>EPA received several comments critical of how the proposed rule described information “obtained under TSCA</w:t>
      </w:r>
      <w:r w:rsidR="008B386D" w:rsidRPr="00431BA7">
        <w:rPr>
          <w:rFonts w:cstheme="minorHAnsi"/>
          <w:sz w:val="24"/>
          <w:szCs w:val="24"/>
        </w:rPr>
        <w:t>.</w:t>
      </w:r>
      <w:r w:rsidR="00E91545" w:rsidRPr="00431BA7">
        <w:rPr>
          <w:rFonts w:cstheme="minorHAnsi"/>
          <w:sz w:val="24"/>
          <w:szCs w:val="24"/>
        </w:rPr>
        <w:t>”</w:t>
      </w:r>
      <w:r w:rsidR="008B386D" w:rsidRPr="00431BA7">
        <w:rPr>
          <w:rFonts w:cstheme="minorHAnsi"/>
          <w:sz w:val="24"/>
          <w:szCs w:val="24"/>
        </w:rPr>
        <w:t xml:space="preserve"> Some commenters asserted that EPA had revised its interpretation of “under TSCA,</w:t>
      </w:r>
      <w:r w:rsidR="00394650" w:rsidRPr="00431BA7">
        <w:rPr>
          <w:rFonts w:cstheme="minorHAnsi"/>
          <w:sz w:val="24"/>
          <w:szCs w:val="24"/>
        </w:rPr>
        <w:t>”</w:t>
      </w:r>
      <w:r w:rsidR="008B386D" w:rsidRPr="00431BA7">
        <w:rPr>
          <w:rFonts w:cstheme="minorHAnsi"/>
          <w:sz w:val="24"/>
          <w:szCs w:val="24"/>
        </w:rPr>
        <w:t xml:space="preserve"> impermissibly broadening it</w:t>
      </w:r>
      <w:r w:rsidR="00A17039" w:rsidRPr="00431BA7">
        <w:rPr>
          <w:rFonts w:cstheme="minorHAnsi"/>
          <w:sz w:val="24"/>
          <w:szCs w:val="24"/>
        </w:rPr>
        <w:t xml:space="preserve"> to include information originally submitted under another statute</w:t>
      </w:r>
      <w:r w:rsidR="00C14998" w:rsidRPr="00431BA7">
        <w:rPr>
          <w:rFonts w:cstheme="minorHAnsi"/>
          <w:sz w:val="24"/>
          <w:szCs w:val="24"/>
        </w:rPr>
        <w:t>, and/or that the disclosure provisions of the statute under which the information was originally submitted should control</w:t>
      </w:r>
      <w:r w:rsidR="008B386D" w:rsidRPr="00431BA7">
        <w:rPr>
          <w:rFonts w:cstheme="minorHAnsi"/>
          <w:sz w:val="24"/>
          <w:szCs w:val="24"/>
        </w:rPr>
        <w:t>.</w:t>
      </w:r>
    </w:p>
    <w:p w14:paraId="3F7F0A1B" w14:textId="66305F3E" w:rsidR="008B1538" w:rsidRPr="00431BA7" w:rsidRDefault="008B1538" w:rsidP="00DB00EB">
      <w:pPr>
        <w:spacing w:after="0"/>
        <w:rPr>
          <w:rFonts w:cstheme="minorHAnsi"/>
          <w:sz w:val="24"/>
          <w:szCs w:val="24"/>
        </w:rPr>
      </w:pPr>
    </w:p>
    <w:p w14:paraId="2E6EB138" w14:textId="3D963681" w:rsidR="001D597E" w:rsidRPr="00431BA7" w:rsidRDefault="008B1538" w:rsidP="00DB00EB">
      <w:pPr>
        <w:spacing w:after="0"/>
        <w:rPr>
          <w:rFonts w:cstheme="minorHAnsi"/>
          <w:sz w:val="24"/>
          <w:szCs w:val="24"/>
        </w:rPr>
      </w:pPr>
      <w:r w:rsidRPr="00431BA7">
        <w:rPr>
          <w:rFonts w:cstheme="minorHAnsi"/>
          <w:sz w:val="24"/>
          <w:szCs w:val="24"/>
        </w:rPr>
        <w:t xml:space="preserve">Source: </w:t>
      </w:r>
      <w:r w:rsidR="00342957" w:rsidRPr="00431BA7">
        <w:rPr>
          <w:rFonts w:cstheme="minorHAnsi"/>
          <w:sz w:val="24"/>
          <w:szCs w:val="24"/>
        </w:rPr>
        <w:t>-</w:t>
      </w:r>
      <w:r w:rsidR="00734C81" w:rsidRPr="00431BA7">
        <w:rPr>
          <w:rFonts w:cstheme="minorHAnsi"/>
          <w:sz w:val="24"/>
          <w:szCs w:val="24"/>
        </w:rPr>
        <w:t xml:space="preserve">0044; </w:t>
      </w:r>
      <w:r w:rsidR="00342957" w:rsidRPr="00431BA7">
        <w:rPr>
          <w:rFonts w:cstheme="minorHAnsi"/>
          <w:sz w:val="24"/>
          <w:szCs w:val="24"/>
        </w:rPr>
        <w:t>-</w:t>
      </w:r>
      <w:r w:rsidR="00734C81" w:rsidRPr="00431BA7">
        <w:rPr>
          <w:rFonts w:cstheme="minorHAnsi"/>
          <w:sz w:val="24"/>
          <w:szCs w:val="24"/>
        </w:rPr>
        <w:t xml:space="preserve">0052; </w:t>
      </w:r>
      <w:r w:rsidR="00342957" w:rsidRPr="00431BA7">
        <w:rPr>
          <w:rFonts w:cstheme="minorHAnsi"/>
          <w:sz w:val="24"/>
          <w:szCs w:val="24"/>
        </w:rPr>
        <w:t>-</w:t>
      </w:r>
      <w:r w:rsidRPr="00431BA7">
        <w:rPr>
          <w:rFonts w:cstheme="minorHAnsi"/>
          <w:sz w:val="24"/>
          <w:szCs w:val="24"/>
        </w:rPr>
        <w:t>0045;</w:t>
      </w:r>
      <w:r w:rsidR="000A2F08" w:rsidRPr="00431BA7">
        <w:rPr>
          <w:rFonts w:cstheme="minorHAnsi"/>
          <w:sz w:val="24"/>
          <w:szCs w:val="24"/>
        </w:rPr>
        <w:t xml:space="preserve"> </w:t>
      </w:r>
      <w:r w:rsidR="00342957" w:rsidRPr="00431BA7">
        <w:rPr>
          <w:rFonts w:cstheme="minorHAnsi"/>
          <w:sz w:val="24"/>
          <w:szCs w:val="24"/>
        </w:rPr>
        <w:t>-</w:t>
      </w:r>
      <w:r w:rsidR="000A2F08" w:rsidRPr="00431BA7">
        <w:rPr>
          <w:rFonts w:cstheme="minorHAnsi"/>
          <w:sz w:val="24"/>
          <w:szCs w:val="24"/>
        </w:rPr>
        <w:t xml:space="preserve">0046; </w:t>
      </w:r>
      <w:r w:rsidR="00342957" w:rsidRPr="00431BA7">
        <w:rPr>
          <w:rFonts w:cstheme="minorHAnsi"/>
          <w:sz w:val="24"/>
          <w:szCs w:val="24"/>
        </w:rPr>
        <w:t>-</w:t>
      </w:r>
      <w:r w:rsidR="000A2F08" w:rsidRPr="00431BA7">
        <w:rPr>
          <w:rFonts w:cstheme="minorHAnsi"/>
          <w:sz w:val="24"/>
          <w:szCs w:val="24"/>
        </w:rPr>
        <w:t>0051;</w:t>
      </w:r>
      <w:r w:rsidR="00342957" w:rsidRPr="00431BA7">
        <w:rPr>
          <w:rFonts w:cstheme="minorHAnsi"/>
          <w:sz w:val="24"/>
          <w:szCs w:val="24"/>
        </w:rPr>
        <w:t xml:space="preserve"> -</w:t>
      </w:r>
      <w:r w:rsidR="000A2F08" w:rsidRPr="00431BA7">
        <w:rPr>
          <w:rFonts w:cstheme="minorHAnsi"/>
          <w:sz w:val="24"/>
          <w:szCs w:val="24"/>
        </w:rPr>
        <w:t>0040</w:t>
      </w:r>
      <w:r w:rsidRPr="00431BA7">
        <w:rPr>
          <w:rFonts w:cstheme="minorHAnsi"/>
          <w:sz w:val="24"/>
          <w:szCs w:val="24"/>
        </w:rPr>
        <w:t xml:space="preserve"> </w:t>
      </w:r>
    </w:p>
    <w:p w14:paraId="050A7441" w14:textId="77777777" w:rsidR="00086CDD" w:rsidRPr="00431BA7" w:rsidRDefault="00086CDD" w:rsidP="00DB00EB">
      <w:pPr>
        <w:spacing w:after="0"/>
        <w:rPr>
          <w:rFonts w:cstheme="minorHAnsi"/>
          <w:b/>
          <w:bCs/>
          <w:sz w:val="24"/>
          <w:szCs w:val="24"/>
          <w:highlight w:val="yellow"/>
        </w:rPr>
      </w:pPr>
    </w:p>
    <w:p w14:paraId="479C0372" w14:textId="7F70CD47" w:rsidR="00154E54" w:rsidRPr="00431BA7" w:rsidRDefault="00060C02" w:rsidP="00154E54">
      <w:pPr>
        <w:rPr>
          <w:sz w:val="24"/>
          <w:szCs w:val="24"/>
        </w:rPr>
      </w:pPr>
      <w:r w:rsidRPr="00431BA7">
        <w:rPr>
          <w:b/>
          <w:sz w:val="24"/>
          <w:szCs w:val="24"/>
        </w:rPr>
        <w:t>Response</w:t>
      </w:r>
      <w:r w:rsidR="0039478C" w:rsidRPr="00431BA7">
        <w:rPr>
          <w:b/>
          <w:sz w:val="24"/>
          <w:szCs w:val="24"/>
        </w:rPr>
        <w:t xml:space="preserve">: </w:t>
      </w:r>
      <w:r w:rsidR="008B386D" w:rsidRPr="00431BA7">
        <w:rPr>
          <w:sz w:val="24"/>
          <w:szCs w:val="24"/>
        </w:rPr>
        <w:t xml:space="preserve">EPA disagrees that the rule </w:t>
      </w:r>
      <w:r w:rsidR="00D76DFA" w:rsidRPr="00431BA7">
        <w:rPr>
          <w:sz w:val="24"/>
          <w:szCs w:val="24"/>
        </w:rPr>
        <w:t xml:space="preserve">impermissibly broadens </w:t>
      </w:r>
      <w:r w:rsidR="008B386D" w:rsidRPr="00431BA7">
        <w:rPr>
          <w:sz w:val="24"/>
          <w:szCs w:val="24"/>
        </w:rPr>
        <w:t xml:space="preserve">EPA’s interpretation of “under TSCA.”  </w:t>
      </w:r>
      <w:r w:rsidR="0024386C" w:rsidRPr="00431BA7">
        <w:rPr>
          <w:sz w:val="24"/>
          <w:szCs w:val="24"/>
        </w:rPr>
        <w:t xml:space="preserve">EPA is finalizing, with minor modifications, </w:t>
      </w:r>
      <w:r w:rsidR="00E71FF1" w:rsidRPr="00431BA7">
        <w:rPr>
          <w:sz w:val="24"/>
          <w:szCs w:val="24"/>
        </w:rPr>
        <w:t>the</w:t>
      </w:r>
      <w:r w:rsidR="005D3FF9" w:rsidRPr="00431BA7">
        <w:rPr>
          <w:sz w:val="24"/>
          <w:szCs w:val="24"/>
        </w:rPr>
        <w:t xml:space="preserve"> provision </w:t>
      </w:r>
      <w:r w:rsidR="00051B87" w:rsidRPr="00431BA7">
        <w:rPr>
          <w:sz w:val="24"/>
          <w:szCs w:val="24"/>
        </w:rPr>
        <w:t>in the rule that identifies information as being “reported to</w:t>
      </w:r>
      <w:r w:rsidR="00E13EF2" w:rsidRPr="00431BA7">
        <w:rPr>
          <w:sz w:val="24"/>
          <w:szCs w:val="24"/>
        </w:rPr>
        <w:t>,</w:t>
      </w:r>
      <w:r w:rsidR="00051B87" w:rsidRPr="00431BA7">
        <w:rPr>
          <w:sz w:val="24"/>
          <w:szCs w:val="24"/>
        </w:rPr>
        <w:t xml:space="preserve"> or otherwise obtained</w:t>
      </w:r>
      <w:r w:rsidR="00A87740" w:rsidRPr="00431BA7">
        <w:rPr>
          <w:sz w:val="24"/>
          <w:szCs w:val="24"/>
        </w:rPr>
        <w:t>,</w:t>
      </w:r>
      <w:r w:rsidR="00051B87" w:rsidRPr="00431BA7">
        <w:rPr>
          <w:sz w:val="24"/>
          <w:szCs w:val="24"/>
        </w:rPr>
        <w:t xml:space="preserve"> under TSCA.</w:t>
      </w:r>
      <w:r w:rsidR="00A87740" w:rsidRPr="00431BA7">
        <w:rPr>
          <w:sz w:val="24"/>
          <w:szCs w:val="24"/>
        </w:rPr>
        <w:t>”</w:t>
      </w:r>
      <w:r w:rsidR="00E13EF2" w:rsidRPr="00431BA7">
        <w:rPr>
          <w:sz w:val="24"/>
          <w:szCs w:val="24"/>
        </w:rPr>
        <w:t xml:space="preserve"> </w:t>
      </w:r>
      <w:r w:rsidR="00154E54" w:rsidRPr="00431BA7">
        <w:rPr>
          <w:sz w:val="24"/>
          <w:szCs w:val="24"/>
        </w:rPr>
        <w:t xml:space="preserve">This </w:t>
      </w:r>
      <w:r w:rsidR="00A91E8C" w:rsidRPr="00431BA7">
        <w:rPr>
          <w:sz w:val="24"/>
          <w:szCs w:val="24"/>
        </w:rPr>
        <w:t xml:space="preserve">provision is intended to </w:t>
      </w:r>
      <w:r w:rsidR="00FC171F" w:rsidRPr="00431BA7">
        <w:rPr>
          <w:sz w:val="24"/>
          <w:szCs w:val="24"/>
        </w:rPr>
        <w:t xml:space="preserve">clarify </w:t>
      </w:r>
      <w:r w:rsidR="00154E54" w:rsidRPr="00431BA7">
        <w:rPr>
          <w:sz w:val="24"/>
          <w:szCs w:val="24"/>
        </w:rPr>
        <w:t>EPA</w:t>
      </w:r>
      <w:r w:rsidR="00FC171F" w:rsidRPr="00431BA7">
        <w:rPr>
          <w:sz w:val="24"/>
          <w:szCs w:val="24"/>
        </w:rPr>
        <w:t>’s</w:t>
      </w:r>
      <w:r w:rsidR="00154E54" w:rsidRPr="00431BA7">
        <w:rPr>
          <w:sz w:val="24"/>
          <w:szCs w:val="24"/>
        </w:rPr>
        <w:t xml:space="preserve"> </w:t>
      </w:r>
      <w:r w:rsidR="007E1451" w:rsidRPr="00431BA7">
        <w:rPr>
          <w:sz w:val="24"/>
          <w:szCs w:val="24"/>
        </w:rPr>
        <w:t>prior</w:t>
      </w:r>
      <w:r w:rsidR="00154E54" w:rsidRPr="00431BA7">
        <w:rPr>
          <w:sz w:val="24"/>
          <w:szCs w:val="24"/>
        </w:rPr>
        <w:t xml:space="preserve"> regulation at 40 CFR 2.306</w:t>
      </w:r>
      <w:r w:rsidR="00FC171F" w:rsidRPr="00431BA7">
        <w:rPr>
          <w:sz w:val="24"/>
          <w:szCs w:val="24"/>
        </w:rPr>
        <w:t>(b)</w:t>
      </w:r>
      <w:r w:rsidR="002C08AE" w:rsidRPr="00431BA7">
        <w:rPr>
          <w:sz w:val="24"/>
          <w:szCs w:val="24"/>
        </w:rPr>
        <w:t>, which state</w:t>
      </w:r>
      <w:r w:rsidR="007E1451" w:rsidRPr="00431BA7">
        <w:rPr>
          <w:sz w:val="24"/>
          <w:szCs w:val="24"/>
        </w:rPr>
        <w:t>d</w:t>
      </w:r>
      <w:r w:rsidR="00154E54" w:rsidRPr="00431BA7">
        <w:rPr>
          <w:sz w:val="24"/>
          <w:szCs w:val="24"/>
        </w:rPr>
        <w:t xml:space="preserve">:  </w:t>
      </w:r>
    </w:p>
    <w:p w14:paraId="473CFF82" w14:textId="4A0F3349" w:rsidR="00154E54" w:rsidRPr="00431BA7" w:rsidRDefault="00154E54" w:rsidP="00CB18B0">
      <w:pPr>
        <w:ind w:left="720"/>
        <w:rPr>
          <w:rFonts w:cstheme="minorHAnsi"/>
          <w:sz w:val="24"/>
          <w:szCs w:val="24"/>
        </w:rPr>
      </w:pPr>
      <w:r w:rsidRPr="00431BA7">
        <w:rPr>
          <w:rFonts w:cstheme="minorHAnsi"/>
          <w:sz w:val="24"/>
          <w:szCs w:val="24"/>
        </w:rPr>
        <w:t xml:space="preserve">This section applies to all information submitted to EPA for the purpose of satisfying some requirement or condition of the Act or of regulations which implement the Act, </w:t>
      </w:r>
      <w:r w:rsidRPr="00431BA7">
        <w:rPr>
          <w:rFonts w:cstheme="minorHAnsi"/>
          <w:sz w:val="24"/>
          <w:szCs w:val="24"/>
        </w:rPr>
        <w:lastRenderedPageBreak/>
        <w:t xml:space="preserve">including information originally submitted to EPA for some other purpose and either relied upon to avoid some requirement or condition of the Act or incorporated into a submission </w:t>
      </w:r>
      <w:proofErr w:type="gramStart"/>
      <w:r w:rsidRPr="00431BA7">
        <w:rPr>
          <w:rFonts w:cstheme="minorHAnsi"/>
          <w:sz w:val="24"/>
          <w:szCs w:val="24"/>
        </w:rPr>
        <w:t>in order to</w:t>
      </w:r>
      <w:proofErr w:type="gramEnd"/>
      <w:r w:rsidRPr="00431BA7">
        <w:rPr>
          <w:rFonts w:cstheme="minorHAnsi"/>
          <w:sz w:val="24"/>
          <w:szCs w:val="24"/>
        </w:rPr>
        <w:t xml:space="preserve"> satisfy some requirement or condition of the Act or of regulations which implement the Act. Information will be considered to have been provided under the Act if the information could have been obtained under authority of the Act, whether the Act was cited as authority or not, and whether the information was provided directly to EPA or through some third person.  </w:t>
      </w:r>
    </w:p>
    <w:p w14:paraId="127A4617" w14:textId="6941B24F" w:rsidR="00AB2518" w:rsidRPr="00431BA7" w:rsidRDefault="006C1917" w:rsidP="00EE2849">
      <w:pPr>
        <w:rPr>
          <w:rFonts w:cstheme="minorHAnsi"/>
          <w:sz w:val="24"/>
          <w:szCs w:val="24"/>
        </w:rPr>
      </w:pPr>
      <w:r w:rsidRPr="00431BA7">
        <w:rPr>
          <w:rFonts w:cstheme="minorHAnsi"/>
          <w:sz w:val="24"/>
          <w:szCs w:val="24"/>
        </w:rPr>
        <w:t>When</w:t>
      </w:r>
      <w:r w:rsidR="00633F4F" w:rsidRPr="00431BA7">
        <w:rPr>
          <w:rFonts w:cstheme="minorHAnsi"/>
          <w:sz w:val="24"/>
          <w:szCs w:val="24"/>
        </w:rPr>
        <w:t xml:space="preserve"> </w:t>
      </w:r>
      <w:r w:rsidR="008E766F" w:rsidRPr="00431BA7">
        <w:rPr>
          <w:rFonts w:cstheme="minorHAnsi"/>
          <w:sz w:val="24"/>
          <w:szCs w:val="24"/>
        </w:rPr>
        <w:t>40 CFR 2.30</w:t>
      </w:r>
      <w:r w:rsidR="004942F2" w:rsidRPr="00431BA7">
        <w:rPr>
          <w:rFonts w:cstheme="minorHAnsi"/>
          <w:sz w:val="24"/>
          <w:szCs w:val="24"/>
        </w:rPr>
        <w:t>6</w:t>
      </w:r>
      <w:r w:rsidR="008E766F" w:rsidRPr="00431BA7">
        <w:rPr>
          <w:rFonts w:cstheme="minorHAnsi"/>
          <w:sz w:val="24"/>
          <w:szCs w:val="24"/>
        </w:rPr>
        <w:t xml:space="preserve">(b) </w:t>
      </w:r>
      <w:r w:rsidRPr="00431BA7">
        <w:rPr>
          <w:rFonts w:cstheme="minorHAnsi"/>
          <w:sz w:val="24"/>
          <w:szCs w:val="24"/>
        </w:rPr>
        <w:t xml:space="preserve">was promulgated, </w:t>
      </w:r>
      <w:r w:rsidR="00CB18B0" w:rsidRPr="00431BA7">
        <w:rPr>
          <w:rFonts w:cstheme="minorHAnsi"/>
          <w:sz w:val="24"/>
          <w:szCs w:val="24"/>
        </w:rPr>
        <w:t xml:space="preserve">EPA </w:t>
      </w:r>
      <w:r w:rsidR="00E804C0" w:rsidRPr="00431BA7">
        <w:rPr>
          <w:rFonts w:cstheme="minorHAnsi"/>
          <w:sz w:val="24"/>
          <w:szCs w:val="24"/>
        </w:rPr>
        <w:t>determined</w:t>
      </w:r>
      <w:r w:rsidR="00CB18B0" w:rsidRPr="00431BA7">
        <w:rPr>
          <w:rFonts w:cstheme="minorHAnsi"/>
          <w:sz w:val="24"/>
          <w:szCs w:val="24"/>
        </w:rPr>
        <w:t xml:space="preserve"> that </w:t>
      </w:r>
      <w:r w:rsidR="00EE2849" w:rsidRPr="00431BA7">
        <w:rPr>
          <w:rFonts w:cstheme="minorHAnsi"/>
          <w:sz w:val="24"/>
          <w:szCs w:val="24"/>
        </w:rPr>
        <w:t xml:space="preserve">information would </w:t>
      </w:r>
      <w:r w:rsidR="005305B7" w:rsidRPr="00431BA7">
        <w:rPr>
          <w:rFonts w:cstheme="minorHAnsi"/>
          <w:sz w:val="24"/>
          <w:szCs w:val="24"/>
        </w:rPr>
        <w:t xml:space="preserve">only be considered </w:t>
      </w:r>
      <w:r w:rsidR="00EE2849" w:rsidRPr="00431BA7">
        <w:rPr>
          <w:rFonts w:cstheme="minorHAnsi"/>
          <w:sz w:val="24"/>
          <w:szCs w:val="24"/>
        </w:rPr>
        <w:t xml:space="preserve">information submitted or obtained “under” TSCA </w:t>
      </w:r>
      <w:r w:rsidR="005305B7" w:rsidRPr="00431BA7">
        <w:rPr>
          <w:rFonts w:cstheme="minorHAnsi"/>
          <w:sz w:val="24"/>
          <w:szCs w:val="24"/>
        </w:rPr>
        <w:t>if</w:t>
      </w:r>
      <w:r w:rsidR="00EE2849" w:rsidRPr="00431BA7">
        <w:rPr>
          <w:rFonts w:cstheme="minorHAnsi"/>
          <w:sz w:val="24"/>
          <w:szCs w:val="24"/>
        </w:rPr>
        <w:t xml:space="preserve"> TSCA provide</w:t>
      </w:r>
      <w:r w:rsidR="005305B7" w:rsidRPr="00431BA7">
        <w:rPr>
          <w:rFonts w:cstheme="minorHAnsi"/>
          <w:sz w:val="24"/>
          <w:szCs w:val="24"/>
        </w:rPr>
        <w:t>d the</w:t>
      </w:r>
      <w:r w:rsidR="00EE2849" w:rsidRPr="00431BA7">
        <w:rPr>
          <w:rFonts w:cstheme="minorHAnsi"/>
          <w:sz w:val="24"/>
          <w:szCs w:val="24"/>
        </w:rPr>
        <w:t xml:space="preserve"> statutory authority to compel </w:t>
      </w:r>
      <w:r w:rsidR="005305B7" w:rsidRPr="00431BA7">
        <w:rPr>
          <w:rFonts w:cstheme="minorHAnsi"/>
          <w:sz w:val="24"/>
          <w:szCs w:val="24"/>
        </w:rPr>
        <w:t>submission of the information</w:t>
      </w:r>
      <w:r w:rsidR="00EE2849" w:rsidRPr="00431BA7">
        <w:rPr>
          <w:rFonts w:cstheme="minorHAnsi"/>
          <w:sz w:val="24"/>
          <w:szCs w:val="24"/>
        </w:rPr>
        <w:t xml:space="preserve">. </w:t>
      </w:r>
      <w:r w:rsidR="008E766F" w:rsidRPr="00431BA7">
        <w:rPr>
          <w:rFonts w:cstheme="minorHAnsi"/>
          <w:sz w:val="24"/>
          <w:szCs w:val="24"/>
        </w:rPr>
        <w:t>The provision in 703.1 does not change EPA’s previously codified position that information that could be obtained under TSCA may be made subject to TSCA authority</w:t>
      </w:r>
      <w:r w:rsidR="00633F4F" w:rsidRPr="00431BA7">
        <w:rPr>
          <w:rFonts w:cstheme="minorHAnsi"/>
          <w:sz w:val="24"/>
          <w:szCs w:val="24"/>
        </w:rPr>
        <w:t>.</w:t>
      </w:r>
      <w:r w:rsidR="008E766F" w:rsidRPr="00431BA7">
        <w:rPr>
          <w:rFonts w:cstheme="minorHAnsi"/>
          <w:sz w:val="24"/>
          <w:szCs w:val="24"/>
        </w:rPr>
        <w:t xml:space="preserve"> Additionally, it is consistent with the same policy underlying the original provision in 40 CFR 2.306(b), which is to facilitate use of information that could be required under TSCA without requiring companies to resubmit that same information. Rather, the new provision clarifies how use of such information </w:t>
      </w:r>
      <w:proofErr w:type="gramStart"/>
      <w:r w:rsidR="008E766F" w:rsidRPr="00431BA7">
        <w:rPr>
          <w:rFonts w:cstheme="minorHAnsi"/>
          <w:sz w:val="24"/>
          <w:szCs w:val="24"/>
        </w:rPr>
        <w:t>operates, and</w:t>
      </w:r>
      <w:proofErr w:type="gramEnd"/>
      <w:r w:rsidR="008E766F" w:rsidRPr="00431BA7">
        <w:rPr>
          <w:rFonts w:cstheme="minorHAnsi"/>
          <w:sz w:val="24"/>
          <w:szCs w:val="24"/>
        </w:rPr>
        <w:t xml:space="preserve"> indicates that disclosure restrictions in the original </w:t>
      </w:r>
      <w:r w:rsidR="00D93960" w:rsidRPr="00431BA7">
        <w:rPr>
          <w:rFonts w:cstheme="minorHAnsi"/>
          <w:sz w:val="24"/>
          <w:szCs w:val="24"/>
        </w:rPr>
        <w:t xml:space="preserve">statute </w:t>
      </w:r>
      <w:r w:rsidR="008E766F" w:rsidRPr="00431BA7">
        <w:rPr>
          <w:rFonts w:cstheme="minorHAnsi"/>
          <w:sz w:val="24"/>
          <w:szCs w:val="24"/>
        </w:rPr>
        <w:t>not based on business confidentiality still apply.</w:t>
      </w:r>
    </w:p>
    <w:p w14:paraId="72FCADF5" w14:textId="4D4A3682" w:rsidR="00FF6F79" w:rsidRPr="00431BA7" w:rsidRDefault="0026193F" w:rsidP="00D567E2">
      <w:pPr>
        <w:rPr>
          <w:rFonts w:cstheme="minorHAnsi"/>
          <w:sz w:val="24"/>
          <w:szCs w:val="24"/>
        </w:rPr>
      </w:pPr>
      <w:r w:rsidRPr="00431BA7">
        <w:rPr>
          <w:rFonts w:cstheme="minorHAnsi"/>
          <w:b/>
          <w:bCs/>
          <w:sz w:val="24"/>
          <w:szCs w:val="24"/>
        </w:rPr>
        <w:t>Comment:</w:t>
      </w:r>
      <w:r w:rsidRPr="00431BA7">
        <w:rPr>
          <w:rFonts w:cstheme="minorHAnsi"/>
          <w:sz w:val="24"/>
          <w:szCs w:val="24"/>
        </w:rPr>
        <w:t xml:space="preserve">  </w:t>
      </w:r>
      <w:r w:rsidR="00AA3152" w:rsidRPr="00431BA7">
        <w:rPr>
          <w:rFonts w:cstheme="minorHAnsi"/>
          <w:sz w:val="24"/>
          <w:szCs w:val="24"/>
        </w:rPr>
        <w:t xml:space="preserve">Commenters </w:t>
      </w:r>
      <w:r w:rsidR="00A17039" w:rsidRPr="00431BA7">
        <w:rPr>
          <w:rFonts w:cstheme="minorHAnsi"/>
          <w:sz w:val="24"/>
          <w:szCs w:val="24"/>
        </w:rPr>
        <w:t xml:space="preserve">also criticized the </w:t>
      </w:r>
      <w:r w:rsidR="00B34AFA" w:rsidRPr="00431BA7">
        <w:rPr>
          <w:rFonts w:cstheme="minorHAnsi"/>
          <w:sz w:val="24"/>
          <w:szCs w:val="24"/>
        </w:rPr>
        <w:t>proposed rule</w:t>
      </w:r>
      <w:r w:rsidR="00A17039" w:rsidRPr="00431BA7">
        <w:rPr>
          <w:rFonts w:cstheme="minorHAnsi"/>
          <w:sz w:val="24"/>
          <w:szCs w:val="24"/>
        </w:rPr>
        <w:t>, asserting that it</w:t>
      </w:r>
      <w:r w:rsidR="00D567E2" w:rsidRPr="00431BA7">
        <w:rPr>
          <w:rFonts w:cstheme="minorHAnsi"/>
          <w:sz w:val="24"/>
          <w:szCs w:val="24"/>
        </w:rPr>
        <w:t xml:space="preserve"> would impermissibly narrow EPA’s </w:t>
      </w:r>
      <w:r w:rsidR="00A54004" w:rsidRPr="00431BA7">
        <w:rPr>
          <w:rFonts w:cstheme="minorHAnsi"/>
          <w:sz w:val="24"/>
          <w:szCs w:val="24"/>
        </w:rPr>
        <w:t>i</w:t>
      </w:r>
      <w:r w:rsidR="00D567E2" w:rsidRPr="00431BA7">
        <w:rPr>
          <w:rFonts w:cstheme="minorHAnsi"/>
          <w:sz w:val="24"/>
          <w:szCs w:val="24"/>
        </w:rPr>
        <w:t>nterpretation</w:t>
      </w:r>
      <w:r w:rsidR="00431E22" w:rsidRPr="00431BA7">
        <w:rPr>
          <w:rFonts w:cstheme="minorHAnsi"/>
          <w:sz w:val="24"/>
          <w:szCs w:val="24"/>
        </w:rPr>
        <w:t xml:space="preserve"> in 40 CFR</w:t>
      </w:r>
      <w:r w:rsidR="00D2518A" w:rsidRPr="00431BA7">
        <w:rPr>
          <w:rFonts w:cstheme="minorHAnsi"/>
          <w:sz w:val="24"/>
          <w:szCs w:val="24"/>
        </w:rPr>
        <w:t xml:space="preserve"> 2.306(b) </w:t>
      </w:r>
      <w:r w:rsidR="00A4126B" w:rsidRPr="00431BA7">
        <w:rPr>
          <w:rFonts w:cstheme="minorHAnsi"/>
          <w:sz w:val="24"/>
          <w:szCs w:val="24"/>
        </w:rPr>
        <w:t>regarding</w:t>
      </w:r>
      <w:r w:rsidR="00D567E2" w:rsidRPr="00431BA7">
        <w:rPr>
          <w:rFonts w:cstheme="minorHAnsi"/>
          <w:sz w:val="24"/>
          <w:szCs w:val="24"/>
        </w:rPr>
        <w:t xml:space="preserve"> what it means for information to be “reported to, or otherwise obtained by,</w:t>
      </w:r>
      <w:r w:rsidR="0001692A" w:rsidRPr="00431BA7">
        <w:rPr>
          <w:rFonts w:cstheme="minorHAnsi"/>
          <w:sz w:val="24"/>
          <w:szCs w:val="24"/>
        </w:rPr>
        <w:t xml:space="preserve"> </w:t>
      </w:r>
      <w:r w:rsidR="00D567E2" w:rsidRPr="00431BA7">
        <w:rPr>
          <w:rFonts w:cstheme="minorHAnsi"/>
          <w:sz w:val="24"/>
          <w:szCs w:val="24"/>
        </w:rPr>
        <w:t>[EPA] under [TSCA]</w:t>
      </w:r>
      <w:r w:rsidR="00394650" w:rsidRPr="00431BA7">
        <w:rPr>
          <w:rFonts w:cstheme="minorHAnsi"/>
          <w:sz w:val="24"/>
          <w:szCs w:val="24"/>
        </w:rPr>
        <w:t>,</w:t>
      </w:r>
      <w:r w:rsidR="00FB2AD7" w:rsidRPr="00431BA7">
        <w:rPr>
          <w:rFonts w:cstheme="minorHAnsi"/>
          <w:sz w:val="24"/>
          <w:szCs w:val="24"/>
        </w:rPr>
        <w:t>”</w:t>
      </w:r>
      <w:r w:rsidR="007B2615" w:rsidRPr="00431BA7">
        <w:rPr>
          <w:rFonts w:cstheme="minorHAnsi"/>
          <w:sz w:val="24"/>
          <w:szCs w:val="24"/>
        </w:rPr>
        <w:t xml:space="preserve"> by requiring </w:t>
      </w:r>
      <w:r w:rsidR="0013306E" w:rsidRPr="00431BA7">
        <w:rPr>
          <w:rFonts w:cstheme="minorHAnsi"/>
          <w:sz w:val="24"/>
          <w:szCs w:val="24"/>
        </w:rPr>
        <w:t xml:space="preserve">additional criteria </w:t>
      </w:r>
      <w:r w:rsidR="002E652B" w:rsidRPr="00431BA7">
        <w:rPr>
          <w:rFonts w:cstheme="minorHAnsi"/>
          <w:sz w:val="24"/>
          <w:szCs w:val="24"/>
        </w:rPr>
        <w:t xml:space="preserve">beyond that </w:t>
      </w:r>
      <w:r w:rsidR="00D22A76" w:rsidRPr="00431BA7">
        <w:rPr>
          <w:rFonts w:cstheme="minorHAnsi"/>
          <w:sz w:val="24"/>
          <w:szCs w:val="24"/>
        </w:rPr>
        <w:t xml:space="preserve">which they argue was </w:t>
      </w:r>
      <w:r w:rsidR="00183524" w:rsidRPr="00431BA7">
        <w:rPr>
          <w:rFonts w:cstheme="minorHAnsi"/>
          <w:sz w:val="24"/>
          <w:szCs w:val="24"/>
        </w:rPr>
        <w:t>previously contained in 40 CFR 2.</w:t>
      </w:r>
      <w:r w:rsidR="00751C71" w:rsidRPr="00431BA7">
        <w:rPr>
          <w:rFonts w:cstheme="minorHAnsi"/>
          <w:sz w:val="24"/>
          <w:szCs w:val="24"/>
        </w:rPr>
        <w:t xml:space="preserve">306(b), </w:t>
      </w:r>
      <w:r w:rsidR="00D22A76" w:rsidRPr="00431BA7">
        <w:rPr>
          <w:rFonts w:cstheme="minorHAnsi"/>
          <w:sz w:val="24"/>
          <w:szCs w:val="24"/>
        </w:rPr>
        <w:t>“</w:t>
      </w:r>
      <w:r w:rsidR="006F647B" w:rsidRPr="00431BA7">
        <w:rPr>
          <w:rFonts w:cstheme="minorHAnsi"/>
          <w:sz w:val="24"/>
          <w:szCs w:val="24"/>
        </w:rPr>
        <w:t>the information could have been obtained under authority of the Act</w:t>
      </w:r>
      <w:r w:rsidR="00CE1769" w:rsidRPr="00431BA7">
        <w:rPr>
          <w:rFonts w:cstheme="minorHAnsi"/>
          <w:sz w:val="24"/>
          <w:szCs w:val="24"/>
        </w:rPr>
        <w:t>.</w:t>
      </w:r>
      <w:r w:rsidR="00D22A76" w:rsidRPr="00431BA7">
        <w:rPr>
          <w:rFonts w:cstheme="minorHAnsi"/>
          <w:sz w:val="24"/>
          <w:szCs w:val="24"/>
        </w:rPr>
        <w:t>”</w:t>
      </w:r>
      <w:r w:rsidR="00D462CF" w:rsidRPr="00431BA7">
        <w:rPr>
          <w:rFonts w:cstheme="minorHAnsi"/>
          <w:sz w:val="24"/>
          <w:szCs w:val="24"/>
        </w:rPr>
        <w:t xml:space="preserve"> </w:t>
      </w:r>
      <w:r w:rsidR="00FC52B7" w:rsidRPr="00431BA7">
        <w:rPr>
          <w:rFonts w:cstheme="minorHAnsi"/>
          <w:sz w:val="24"/>
          <w:szCs w:val="24"/>
        </w:rPr>
        <w:t>One commenter criticized the condition that</w:t>
      </w:r>
      <w:r w:rsidR="0060715E" w:rsidRPr="00431BA7">
        <w:rPr>
          <w:rFonts w:cstheme="minorHAnsi"/>
          <w:sz w:val="24"/>
          <w:szCs w:val="24"/>
        </w:rPr>
        <w:t xml:space="preserve"> </w:t>
      </w:r>
      <w:r w:rsidR="00FC52B7" w:rsidRPr="00431BA7">
        <w:rPr>
          <w:rFonts w:cstheme="minorHAnsi"/>
          <w:sz w:val="24"/>
          <w:szCs w:val="24"/>
        </w:rPr>
        <w:t xml:space="preserve">EPA </w:t>
      </w:r>
      <w:r w:rsidR="0060715E" w:rsidRPr="00431BA7">
        <w:rPr>
          <w:rFonts w:cstheme="minorHAnsi"/>
          <w:sz w:val="24"/>
          <w:szCs w:val="24"/>
        </w:rPr>
        <w:t>“makes use of the information in the course of carrying out its responsibilities under TSCA.”</w:t>
      </w:r>
    </w:p>
    <w:p w14:paraId="3DB9B23C" w14:textId="353A6E0B" w:rsidR="008B386D" w:rsidRPr="00431BA7" w:rsidRDefault="008B386D" w:rsidP="008B386D">
      <w:pPr>
        <w:spacing w:after="0"/>
        <w:rPr>
          <w:rFonts w:cstheme="minorHAnsi"/>
          <w:sz w:val="24"/>
          <w:szCs w:val="24"/>
        </w:rPr>
      </w:pPr>
      <w:r w:rsidRPr="00431BA7">
        <w:rPr>
          <w:rFonts w:cstheme="minorHAnsi"/>
          <w:sz w:val="24"/>
          <w:szCs w:val="24"/>
        </w:rPr>
        <w:t xml:space="preserve">Source: -0050; -0049 </w:t>
      </w:r>
    </w:p>
    <w:p w14:paraId="15E6E5F6" w14:textId="52DA43A8" w:rsidR="00ED0619" w:rsidRPr="00431BA7" w:rsidRDefault="00B36570" w:rsidP="00ED0619">
      <w:pPr>
        <w:rPr>
          <w:sz w:val="24"/>
          <w:szCs w:val="24"/>
        </w:rPr>
      </w:pPr>
      <w:r w:rsidRPr="00431BA7">
        <w:rPr>
          <w:rFonts w:cstheme="minorHAnsi"/>
          <w:b/>
          <w:sz w:val="24"/>
          <w:szCs w:val="24"/>
        </w:rPr>
        <w:t>Response:</w:t>
      </w:r>
      <w:r w:rsidR="00E313D8" w:rsidRPr="00431BA7">
        <w:rPr>
          <w:rFonts w:cstheme="minorHAnsi"/>
          <w:b/>
          <w:sz w:val="24"/>
          <w:szCs w:val="24"/>
        </w:rPr>
        <w:t xml:space="preserve"> </w:t>
      </w:r>
      <w:r w:rsidR="00D94FF1" w:rsidRPr="00431BA7">
        <w:rPr>
          <w:rFonts w:cstheme="minorHAnsi"/>
          <w:bCs/>
          <w:sz w:val="24"/>
          <w:szCs w:val="24"/>
        </w:rPr>
        <w:t>The comments</w:t>
      </w:r>
      <w:r w:rsidR="00665639" w:rsidRPr="00431BA7">
        <w:rPr>
          <w:rFonts w:cstheme="minorHAnsi"/>
          <w:bCs/>
          <w:sz w:val="24"/>
          <w:szCs w:val="24"/>
        </w:rPr>
        <w:t xml:space="preserve"> inaccurately describe the </w:t>
      </w:r>
      <w:r w:rsidR="005A559B" w:rsidRPr="00431BA7">
        <w:rPr>
          <w:rFonts w:cstheme="minorHAnsi"/>
          <w:bCs/>
          <w:sz w:val="24"/>
          <w:szCs w:val="24"/>
        </w:rPr>
        <w:t xml:space="preserve">effect of </w:t>
      </w:r>
      <w:r w:rsidR="00CE1769" w:rsidRPr="00431BA7">
        <w:rPr>
          <w:rFonts w:cstheme="minorHAnsi"/>
          <w:sz w:val="24"/>
          <w:szCs w:val="24"/>
        </w:rPr>
        <w:t>40 CFR</w:t>
      </w:r>
      <w:r w:rsidR="00ED0619" w:rsidRPr="00431BA7">
        <w:rPr>
          <w:rFonts w:cstheme="minorHAnsi"/>
          <w:sz w:val="24"/>
          <w:szCs w:val="24"/>
        </w:rPr>
        <w:t xml:space="preserve"> 2.306(b)</w:t>
      </w:r>
      <w:r w:rsidR="00ED09C9" w:rsidRPr="00431BA7">
        <w:rPr>
          <w:rFonts w:cstheme="minorHAnsi"/>
          <w:sz w:val="24"/>
          <w:szCs w:val="24"/>
        </w:rPr>
        <w:t>. This</w:t>
      </w:r>
      <w:r w:rsidR="00ED0619" w:rsidRPr="00431BA7">
        <w:rPr>
          <w:rFonts w:cstheme="minorHAnsi"/>
          <w:sz w:val="24"/>
          <w:szCs w:val="24"/>
        </w:rPr>
        <w:t xml:space="preserve"> provision establish</w:t>
      </w:r>
      <w:r w:rsidR="007372DF" w:rsidRPr="00431BA7">
        <w:rPr>
          <w:rFonts w:cstheme="minorHAnsi"/>
          <w:sz w:val="24"/>
          <w:szCs w:val="24"/>
        </w:rPr>
        <w:t>ed</w:t>
      </w:r>
      <w:r w:rsidR="00ED0619" w:rsidRPr="00431BA7">
        <w:rPr>
          <w:rFonts w:cstheme="minorHAnsi"/>
          <w:sz w:val="24"/>
          <w:szCs w:val="24"/>
        </w:rPr>
        <w:t xml:space="preserve"> related but conceptually distinct standards for determining whether </w:t>
      </w:r>
      <w:r w:rsidR="00F723F0" w:rsidRPr="00431BA7">
        <w:rPr>
          <w:rFonts w:cstheme="minorHAnsi"/>
          <w:sz w:val="24"/>
          <w:szCs w:val="24"/>
        </w:rPr>
        <w:t xml:space="preserve">such </w:t>
      </w:r>
      <w:r w:rsidR="00ED0619" w:rsidRPr="00431BA7">
        <w:rPr>
          <w:rFonts w:cstheme="minorHAnsi"/>
          <w:sz w:val="24"/>
          <w:szCs w:val="24"/>
        </w:rPr>
        <w:t xml:space="preserve">information is </w:t>
      </w:r>
      <w:r w:rsidR="00C14222" w:rsidRPr="00431BA7">
        <w:rPr>
          <w:rFonts w:cstheme="minorHAnsi"/>
          <w:sz w:val="24"/>
          <w:szCs w:val="24"/>
        </w:rPr>
        <w:t xml:space="preserve">obtained under </w:t>
      </w:r>
      <w:r w:rsidR="004336D6" w:rsidRPr="00431BA7">
        <w:rPr>
          <w:rFonts w:cstheme="minorHAnsi"/>
          <w:sz w:val="24"/>
          <w:szCs w:val="24"/>
        </w:rPr>
        <w:t>TSCA</w:t>
      </w:r>
      <w:r w:rsidR="00ED0619" w:rsidRPr="00431BA7">
        <w:rPr>
          <w:rFonts w:cstheme="minorHAnsi"/>
          <w:sz w:val="24"/>
          <w:szCs w:val="24"/>
        </w:rPr>
        <w:t>: (1) whether the information was submitted for the purpose of satisfying some requirement or condition of TSCA or of regulations implementing TSCA; and (2) whether the information could have been obtained under authority of TSCA.  The first standard focuse</w:t>
      </w:r>
      <w:r w:rsidR="007372DF" w:rsidRPr="00431BA7">
        <w:rPr>
          <w:rFonts w:cstheme="minorHAnsi"/>
          <w:sz w:val="24"/>
          <w:szCs w:val="24"/>
        </w:rPr>
        <w:t>d</w:t>
      </w:r>
      <w:r w:rsidR="00ED0619" w:rsidRPr="00431BA7">
        <w:rPr>
          <w:rFonts w:cstheme="minorHAnsi"/>
          <w:sz w:val="24"/>
          <w:szCs w:val="24"/>
        </w:rPr>
        <w:t xml:space="preserve"> on the purpose of the submission, while the second standard focuse</w:t>
      </w:r>
      <w:r w:rsidR="007372DF" w:rsidRPr="00431BA7">
        <w:rPr>
          <w:rFonts w:cstheme="minorHAnsi"/>
          <w:sz w:val="24"/>
          <w:szCs w:val="24"/>
        </w:rPr>
        <w:t>d</w:t>
      </w:r>
      <w:r w:rsidR="00ED0619" w:rsidRPr="00431BA7">
        <w:rPr>
          <w:rFonts w:cstheme="minorHAnsi"/>
          <w:sz w:val="24"/>
          <w:szCs w:val="24"/>
        </w:rPr>
        <w:t xml:space="preserve"> on EPA’s authority under TSCA to compel the submission. </w:t>
      </w:r>
      <w:r w:rsidR="004336D6" w:rsidRPr="00431BA7">
        <w:rPr>
          <w:rFonts w:cstheme="minorHAnsi"/>
          <w:sz w:val="24"/>
          <w:szCs w:val="24"/>
        </w:rPr>
        <w:t xml:space="preserve">However, </w:t>
      </w:r>
      <w:r w:rsidR="00CE1769" w:rsidRPr="00431BA7">
        <w:rPr>
          <w:rFonts w:cstheme="minorHAnsi"/>
          <w:sz w:val="24"/>
          <w:szCs w:val="24"/>
        </w:rPr>
        <w:t xml:space="preserve">40 CFR </w:t>
      </w:r>
      <w:r w:rsidR="00ED0619" w:rsidRPr="00431BA7">
        <w:rPr>
          <w:rFonts w:cstheme="minorHAnsi"/>
          <w:sz w:val="24"/>
          <w:szCs w:val="24"/>
        </w:rPr>
        <w:t>2.306</w:t>
      </w:r>
      <w:r w:rsidR="007372DF" w:rsidRPr="00431BA7">
        <w:rPr>
          <w:rFonts w:cstheme="minorHAnsi"/>
          <w:sz w:val="24"/>
          <w:szCs w:val="24"/>
        </w:rPr>
        <w:t>(b) was</w:t>
      </w:r>
      <w:r w:rsidR="00ED0619" w:rsidRPr="00431BA7">
        <w:rPr>
          <w:rFonts w:cstheme="minorHAnsi"/>
          <w:sz w:val="24"/>
          <w:szCs w:val="24"/>
        </w:rPr>
        <w:t xml:space="preserve"> not clear as to whether both standards must be met for </w:t>
      </w:r>
      <w:r w:rsidR="00CE1769" w:rsidRPr="00431BA7">
        <w:rPr>
          <w:rFonts w:cstheme="minorHAnsi"/>
          <w:sz w:val="24"/>
          <w:szCs w:val="24"/>
        </w:rPr>
        <w:t xml:space="preserve">40 CFR </w:t>
      </w:r>
      <w:r w:rsidR="00ED0619" w:rsidRPr="00431BA7">
        <w:rPr>
          <w:rFonts w:cstheme="minorHAnsi"/>
          <w:sz w:val="24"/>
          <w:szCs w:val="24"/>
        </w:rPr>
        <w:t xml:space="preserve">2.306 to apply. </w:t>
      </w:r>
      <w:proofErr w:type="gramStart"/>
      <w:r w:rsidR="007372DF" w:rsidRPr="00431BA7">
        <w:rPr>
          <w:rFonts w:cstheme="minorHAnsi"/>
          <w:sz w:val="24"/>
          <w:szCs w:val="24"/>
        </w:rPr>
        <w:t>In order to</w:t>
      </w:r>
      <w:proofErr w:type="gramEnd"/>
      <w:r w:rsidR="007372DF" w:rsidRPr="00431BA7">
        <w:rPr>
          <w:rFonts w:cstheme="minorHAnsi"/>
          <w:sz w:val="24"/>
          <w:szCs w:val="24"/>
        </w:rPr>
        <w:t xml:space="preserve"> address this ambiguity, </w:t>
      </w:r>
      <w:r w:rsidR="004336D6" w:rsidRPr="00431BA7">
        <w:rPr>
          <w:rFonts w:cstheme="minorHAnsi"/>
          <w:sz w:val="24"/>
          <w:szCs w:val="24"/>
        </w:rPr>
        <w:t>EPA has retained both of these elements in the final rule</w:t>
      </w:r>
      <w:r w:rsidR="007372DF" w:rsidRPr="00431BA7">
        <w:rPr>
          <w:rFonts w:cstheme="minorHAnsi"/>
          <w:sz w:val="24"/>
          <w:szCs w:val="24"/>
        </w:rPr>
        <w:t xml:space="preserve"> </w:t>
      </w:r>
      <w:r w:rsidR="004336D6" w:rsidRPr="00431BA7">
        <w:rPr>
          <w:rFonts w:cstheme="minorHAnsi"/>
          <w:sz w:val="24"/>
          <w:szCs w:val="24"/>
        </w:rPr>
        <w:t xml:space="preserve">while clarifying that </w:t>
      </w:r>
      <w:r w:rsidR="002C7810" w:rsidRPr="00431BA7">
        <w:rPr>
          <w:rFonts w:cstheme="minorHAnsi"/>
          <w:i/>
          <w:sz w:val="24"/>
          <w:szCs w:val="24"/>
        </w:rPr>
        <w:t xml:space="preserve">both </w:t>
      </w:r>
      <w:r w:rsidR="002C7810" w:rsidRPr="00431BA7">
        <w:rPr>
          <w:rFonts w:cstheme="minorHAnsi"/>
          <w:sz w:val="24"/>
          <w:szCs w:val="24"/>
        </w:rPr>
        <w:t>m</w:t>
      </w:r>
      <w:r w:rsidR="008463E9" w:rsidRPr="00431BA7">
        <w:rPr>
          <w:rFonts w:cstheme="minorHAnsi"/>
          <w:sz w:val="24"/>
          <w:szCs w:val="24"/>
        </w:rPr>
        <w:t>u</w:t>
      </w:r>
      <w:r w:rsidR="002C7810" w:rsidRPr="00431BA7">
        <w:rPr>
          <w:rFonts w:cstheme="minorHAnsi"/>
          <w:sz w:val="24"/>
          <w:szCs w:val="24"/>
        </w:rPr>
        <w:t xml:space="preserve">st be met in order </w:t>
      </w:r>
      <w:r w:rsidR="00173901" w:rsidRPr="00431BA7">
        <w:rPr>
          <w:rFonts w:cstheme="minorHAnsi"/>
          <w:sz w:val="24"/>
          <w:szCs w:val="24"/>
        </w:rPr>
        <w:t>for</w:t>
      </w:r>
      <w:r w:rsidR="002C7810" w:rsidRPr="00431BA7">
        <w:rPr>
          <w:rFonts w:cstheme="minorHAnsi"/>
          <w:sz w:val="24"/>
          <w:szCs w:val="24"/>
        </w:rPr>
        <w:t xml:space="preserve"> the information to be considered TSCA information. </w:t>
      </w:r>
      <w:r w:rsidR="007B673B" w:rsidRPr="00431BA7">
        <w:rPr>
          <w:rFonts w:cstheme="minorHAnsi"/>
          <w:sz w:val="24"/>
          <w:szCs w:val="24"/>
        </w:rPr>
        <w:t>There has been no narrowing</w:t>
      </w:r>
      <w:r w:rsidR="006F2EAD" w:rsidRPr="00431BA7">
        <w:rPr>
          <w:rFonts w:cstheme="minorHAnsi"/>
          <w:sz w:val="24"/>
          <w:szCs w:val="24"/>
        </w:rPr>
        <w:t xml:space="preserve"> of EPA’s interpretation.</w:t>
      </w:r>
      <w:r w:rsidR="005C3E31" w:rsidRPr="00431BA7">
        <w:rPr>
          <w:rFonts w:cstheme="minorHAnsi"/>
          <w:sz w:val="24"/>
          <w:szCs w:val="24"/>
        </w:rPr>
        <w:t xml:space="preserve"> EPA is modifying, at 40 CFR 703.1, the proposed approach to information originally submitted under another statute. </w:t>
      </w:r>
      <w:r w:rsidR="005C3E31" w:rsidRPr="00431BA7">
        <w:rPr>
          <w:rFonts w:eastAsia="SimSun"/>
          <w:sz w:val="24"/>
          <w:szCs w:val="24"/>
        </w:rPr>
        <w:t xml:space="preserve">EPA has somewhat revised the proposed language in response to public comment but retains the proposed provisions concerning the scope of information that is considered </w:t>
      </w:r>
      <w:r w:rsidR="005C3E31" w:rsidRPr="00431BA7">
        <w:rPr>
          <w:sz w:val="24"/>
          <w:szCs w:val="24"/>
        </w:rPr>
        <w:t>“reported to or otherwise obtained by EPA pursuant to TSCA or its implementing regulations</w:t>
      </w:r>
      <w:r w:rsidR="005C3E31" w:rsidRPr="00431BA7">
        <w:rPr>
          <w:rFonts w:eastAsia="SimSun"/>
          <w:sz w:val="24"/>
          <w:szCs w:val="24"/>
        </w:rPr>
        <w:t xml:space="preserve">,” particularly that data need not have </w:t>
      </w:r>
      <w:r w:rsidR="005C3E31" w:rsidRPr="00431BA7">
        <w:rPr>
          <w:rFonts w:eastAsia="SimSun"/>
          <w:sz w:val="24"/>
          <w:szCs w:val="24"/>
        </w:rPr>
        <w:lastRenderedPageBreak/>
        <w:t xml:space="preserve">been submitted pursuant to an exercise of TSCA authority </w:t>
      </w:r>
      <w:proofErr w:type="gramStart"/>
      <w:r w:rsidR="005C3E31" w:rsidRPr="00431BA7">
        <w:rPr>
          <w:rFonts w:eastAsia="SimSun"/>
          <w:sz w:val="24"/>
          <w:szCs w:val="24"/>
        </w:rPr>
        <w:t>in order for</w:t>
      </w:r>
      <w:proofErr w:type="gramEnd"/>
      <w:r w:rsidR="005C3E31" w:rsidRPr="00431BA7">
        <w:rPr>
          <w:rFonts w:eastAsia="SimSun"/>
          <w:sz w:val="24"/>
          <w:szCs w:val="24"/>
        </w:rPr>
        <w:t xml:space="preserve"> it to be considered obtained under TSCA. </w:t>
      </w:r>
    </w:p>
    <w:p w14:paraId="5871C94C" w14:textId="7E1A137A" w:rsidR="008A6109" w:rsidRPr="00431BA7" w:rsidRDefault="002D5FF6" w:rsidP="00482F8A">
      <w:pPr>
        <w:rPr>
          <w:rFonts w:cstheme="minorHAnsi"/>
          <w:sz w:val="24"/>
          <w:szCs w:val="24"/>
        </w:rPr>
      </w:pPr>
      <w:r w:rsidRPr="00431BA7">
        <w:rPr>
          <w:rFonts w:cstheme="minorHAnsi"/>
          <w:sz w:val="24"/>
          <w:szCs w:val="24"/>
        </w:rPr>
        <w:t xml:space="preserve">EPA did not intend </w:t>
      </w:r>
      <w:r w:rsidR="00392B58" w:rsidRPr="00431BA7">
        <w:rPr>
          <w:rFonts w:cstheme="minorHAnsi"/>
          <w:sz w:val="24"/>
          <w:szCs w:val="24"/>
        </w:rPr>
        <w:t xml:space="preserve">for “makes use” of the information to narrow the scope of information </w:t>
      </w:r>
      <w:r w:rsidR="005950F2" w:rsidRPr="00431BA7">
        <w:rPr>
          <w:rFonts w:cstheme="minorHAnsi"/>
          <w:sz w:val="24"/>
          <w:szCs w:val="24"/>
        </w:rPr>
        <w:t xml:space="preserve">that </w:t>
      </w:r>
      <w:r w:rsidR="00392B58" w:rsidRPr="00431BA7">
        <w:rPr>
          <w:rFonts w:cstheme="minorHAnsi"/>
          <w:sz w:val="24"/>
          <w:szCs w:val="24"/>
        </w:rPr>
        <w:t xml:space="preserve">would be </w:t>
      </w:r>
      <w:r w:rsidR="00ED5873" w:rsidRPr="00431BA7">
        <w:rPr>
          <w:rFonts w:cstheme="minorHAnsi"/>
          <w:sz w:val="24"/>
          <w:szCs w:val="24"/>
        </w:rPr>
        <w:t>deemed submitted under TSCA</w:t>
      </w:r>
      <w:r w:rsidR="007910B5" w:rsidRPr="00431BA7">
        <w:rPr>
          <w:rFonts w:cstheme="minorHAnsi"/>
          <w:sz w:val="24"/>
          <w:szCs w:val="24"/>
        </w:rPr>
        <w:t>.</w:t>
      </w:r>
      <w:r w:rsidR="007B68EE" w:rsidRPr="00431BA7">
        <w:rPr>
          <w:rFonts w:cstheme="minorHAnsi"/>
          <w:sz w:val="24"/>
          <w:szCs w:val="24"/>
        </w:rPr>
        <w:t xml:space="preserve"> In fact, under the most restrictive interpretation</w:t>
      </w:r>
      <w:r w:rsidR="007A6E73" w:rsidRPr="00431BA7">
        <w:rPr>
          <w:rFonts w:cstheme="minorHAnsi"/>
          <w:sz w:val="24"/>
          <w:szCs w:val="24"/>
        </w:rPr>
        <w:t xml:space="preserve"> of the language in </w:t>
      </w:r>
      <w:r w:rsidR="00361F2A" w:rsidRPr="00431BA7">
        <w:rPr>
          <w:rFonts w:cstheme="minorHAnsi"/>
          <w:sz w:val="24"/>
          <w:szCs w:val="24"/>
        </w:rPr>
        <w:t>40 CFR</w:t>
      </w:r>
      <w:r w:rsidR="007A6E73" w:rsidRPr="00431BA7">
        <w:rPr>
          <w:rFonts w:cstheme="minorHAnsi"/>
          <w:sz w:val="24"/>
          <w:szCs w:val="24"/>
        </w:rPr>
        <w:t xml:space="preserve"> 2.306(b), </w:t>
      </w:r>
      <w:r w:rsidR="00E42F1A" w:rsidRPr="00431BA7">
        <w:rPr>
          <w:rFonts w:cstheme="minorHAnsi"/>
          <w:sz w:val="24"/>
          <w:szCs w:val="24"/>
        </w:rPr>
        <w:t>the information had to be “either relied upon to avoid some requirement or condition of the Act or incorporated into a submission in order to satisfy some requirement or condition of the Act or of regulations which implement the Act</w:t>
      </w:r>
      <w:r w:rsidR="008A6109" w:rsidRPr="00431BA7">
        <w:rPr>
          <w:rFonts w:cstheme="minorHAnsi"/>
          <w:sz w:val="24"/>
          <w:szCs w:val="24"/>
        </w:rPr>
        <w:t>.</w:t>
      </w:r>
      <w:r w:rsidR="00E42F1A" w:rsidRPr="00431BA7">
        <w:rPr>
          <w:rFonts w:cstheme="minorHAnsi"/>
          <w:sz w:val="24"/>
          <w:szCs w:val="24"/>
        </w:rPr>
        <w:t>”</w:t>
      </w:r>
      <w:r w:rsidR="007910B5" w:rsidRPr="00431BA7">
        <w:rPr>
          <w:rFonts w:cstheme="minorHAnsi"/>
          <w:sz w:val="24"/>
          <w:szCs w:val="24"/>
        </w:rPr>
        <w:t xml:space="preserve"> </w:t>
      </w:r>
      <w:r w:rsidR="009355D7" w:rsidRPr="00431BA7">
        <w:rPr>
          <w:rFonts w:cstheme="minorHAnsi"/>
          <w:sz w:val="24"/>
          <w:szCs w:val="24"/>
        </w:rPr>
        <w:t>This rule</w:t>
      </w:r>
      <w:r w:rsidR="009C18EB" w:rsidRPr="00431BA7">
        <w:rPr>
          <w:rFonts w:cstheme="minorHAnsi"/>
          <w:sz w:val="24"/>
          <w:szCs w:val="24"/>
        </w:rPr>
        <w:t xml:space="preserve"> clarifies </w:t>
      </w:r>
      <w:r w:rsidR="001F5CF0" w:rsidRPr="00431BA7">
        <w:rPr>
          <w:rFonts w:cstheme="minorHAnsi"/>
          <w:sz w:val="24"/>
          <w:szCs w:val="24"/>
        </w:rPr>
        <w:t xml:space="preserve">EPA’s interpretation </w:t>
      </w:r>
      <w:r w:rsidR="009C18EB" w:rsidRPr="00431BA7">
        <w:rPr>
          <w:rFonts w:cstheme="minorHAnsi"/>
          <w:sz w:val="24"/>
          <w:szCs w:val="24"/>
        </w:rPr>
        <w:t>that</w:t>
      </w:r>
      <w:r w:rsidR="00CB6241" w:rsidRPr="00431BA7">
        <w:rPr>
          <w:rFonts w:cstheme="minorHAnsi"/>
          <w:sz w:val="24"/>
          <w:szCs w:val="24"/>
        </w:rPr>
        <w:t xml:space="preserve"> </w:t>
      </w:r>
      <w:r w:rsidR="00A016B0" w:rsidRPr="00431BA7">
        <w:rPr>
          <w:rFonts w:cstheme="minorHAnsi"/>
          <w:sz w:val="24"/>
          <w:szCs w:val="24"/>
        </w:rPr>
        <w:t>such</w:t>
      </w:r>
      <w:r w:rsidR="00CB6241" w:rsidRPr="00431BA7">
        <w:rPr>
          <w:rFonts w:cstheme="minorHAnsi"/>
          <w:sz w:val="24"/>
          <w:szCs w:val="24"/>
        </w:rPr>
        <w:t xml:space="preserve"> </w:t>
      </w:r>
      <w:r w:rsidR="008679D8" w:rsidRPr="00431BA7">
        <w:rPr>
          <w:rFonts w:cstheme="minorHAnsi"/>
          <w:sz w:val="24"/>
          <w:szCs w:val="24"/>
        </w:rPr>
        <w:t>events are not required to establish TSCA jurisdiction.</w:t>
      </w:r>
    </w:p>
    <w:p w14:paraId="5EEDBF35" w14:textId="12F59538" w:rsidR="003531CD" w:rsidRPr="00431BA7" w:rsidRDefault="008679D8" w:rsidP="00482F8A">
      <w:pPr>
        <w:rPr>
          <w:rFonts w:cstheme="minorHAnsi"/>
          <w:sz w:val="24"/>
          <w:szCs w:val="24"/>
        </w:rPr>
      </w:pPr>
      <w:r w:rsidRPr="00431BA7">
        <w:rPr>
          <w:rFonts w:cstheme="minorHAnsi"/>
          <w:sz w:val="24"/>
          <w:szCs w:val="24"/>
        </w:rPr>
        <w:t xml:space="preserve">Nonetheless, </w:t>
      </w:r>
      <w:r w:rsidR="00CC2789" w:rsidRPr="00431BA7">
        <w:rPr>
          <w:rFonts w:cstheme="minorHAnsi"/>
          <w:sz w:val="24"/>
          <w:szCs w:val="24"/>
        </w:rPr>
        <w:t xml:space="preserve">EPA is not asserting that </w:t>
      </w:r>
      <w:r w:rsidR="004723F7" w:rsidRPr="00431BA7">
        <w:rPr>
          <w:rFonts w:cstheme="minorHAnsi"/>
          <w:sz w:val="24"/>
          <w:szCs w:val="24"/>
        </w:rPr>
        <w:t xml:space="preserve">the </w:t>
      </w:r>
      <w:r w:rsidR="00E81C8A" w:rsidRPr="00431BA7">
        <w:rPr>
          <w:rFonts w:cstheme="minorHAnsi"/>
          <w:sz w:val="24"/>
          <w:szCs w:val="24"/>
        </w:rPr>
        <w:t>mere fact that</w:t>
      </w:r>
      <w:r w:rsidR="00CC2789" w:rsidRPr="00431BA7">
        <w:rPr>
          <w:rFonts w:cstheme="minorHAnsi"/>
          <w:sz w:val="24"/>
          <w:szCs w:val="24"/>
        </w:rPr>
        <w:t xml:space="preserve"> information that could have been submitted under TSCA</w:t>
      </w:r>
      <w:r w:rsidR="001A06AE" w:rsidRPr="00431BA7">
        <w:rPr>
          <w:rFonts w:cstheme="minorHAnsi"/>
          <w:sz w:val="24"/>
          <w:szCs w:val="24"/>
        </w:rPr>
        <w:t xml:space="preserve"> becomes </w:t>
      </w:r>
      <w:r w:rsidR="00EF7FED" w:rsidRPr="00431BA7">
        <w:rPr>
          <w:rFonts w:cstheme="minorHAnsi"/>
          <w:sz w:val="24"/>
          <w:szCs w:val="24"/>
        </w:rPr>
        <w:t xml:space="preserve">subject to </w:t>
      </w:r>
      <w:r w:rsidR="00A86D56" w:rsidRPr="00431BA7">
        <w:rPr>
          <w:rFonts w:cstheme="minorHAnsi"/>
          <w:sz w:val="24"/>
          <w:szCs w:val="24"/>
        </w:rPr>
        <w:t xml:space="preserve">the provisions of </w:t>
      </w:r>
      <w:r w:rsidR="00EF7FED" w:rsidRPr="00431BA7">
        <w:rPr>
          <w:rFonts w:cstheme="minorHAnsi"/>
          <w:sz w:val="24"/>
          <w:szCs w:val="24"/>
        </w:rPr>
        <w:t>TSCA Section 14</w:t>
      </w:r>
      <w:r w:rsidR="005903DB" w:rsidRPr="00431BA7">
        <w:rPr>
          <w:rFonts w:cstheme="minorHAnsi"/>
          <w:sz w:val="24"/>
          <w:szCs w:val="24"/>
        </w:rPr>
        <w:t xml:space="preserve"> even </w:t>
      </w:r>
      <w:r w:rsidR="004723F7" w:rsidRPr="00431BA7">
        <w:rPr>
          <w:rFonts w:cstheme="minorHAnsi"/>
          <w:sz w:val="24"/>
          <w:szCs w:val="24"/>
        </w:rPr>
        <w:t>where such information has no nexus with TSCA</w:t>
      </w:r>
      <w:r w:rsidR="00005725" w:rsidRPr="00431BA7">
        <w:rPr>
          <w:rFonts w:cstheme="minorHAnsi"/>
          <w:sz w:val="24"/>
          <w:szCs w:val="24"/>
        </w:rPr>
        <w:t xml:space="preserve"> whatsoever. </w:t>
      </w:r>
      <w:r w:rsidR="007910B5" w:rsidRPr="00431BA7">
        <w:rPr>
          <w:rFonts w:cstheme="minorHAnsi"/>
          <w:sz w:val="24"/>
          <w:szCs w:val="24"/>
        </w:rPr>
        <w:t xml:space="preserve">To clarify the intent, </w:t>
      </w:r>
      <w:r w:rsidR="00F1632B" w:rsidRPr="00431BA7">
        <w:rPr>
          <w:rFonts w:cstheme="minorHAnsi"/>
          <w:sz w:val="24"/>
          <w:szCs w:val="24"/>
        </w:rPr>
        <w:t xml:space="preserve">EPA has </w:t>
      </w:r>
      <w:r w:rsidR="002D5FF6" w:rsidRPr="00431BA7">
        <w:rPr>
          <w:rFonts w:cstheme="minorHAnsi"/>
          <w:sz w:val="24"/>
          <w:szCs w:val="24"/>
        </w:rPr>
        <w:t xml:space="preserve">modified </w:t>
      </w:r>
      <w:r w:rsidR="002B67F3" w:rsidRPr="00431BA7">
        <w:rPr>
          <w:rFonts w:cstheme="minorHAnsi"/>
          <w:sz w:val="24"/>
          <w:szCs w:val="24"/>
        </w:rPr>
        <w:t xml:space="preserve">the </w:t>
      </w:r>
      <w:r w:rsidR="00361F2A" w:rsidRPr="00431BA7">
        <w:rPr>
          <w:rFonts w:cstheme="minorHAnsi"/>
          <w:sz w:val="24"/>
          <w:szCs w:val="24"/>
        </w:rPr>
        <w:t>40 CFR</w:t>
      </w:r>
      <w:r w:rsidR="00914349" w:rsidRPr="00431BA7">
        <w:rPr>
          <w:rFonts w:cstheme="minorHAnsi"/>
          <w:sz w:val="24"/>
          <w:szCs w:val="24"/>
        </w:rPr>
        <w:t xml:space="preserve"> 703.1(c)(2)</w:t>
      </w:r>
      <w:r w:rsidR="002B67F3" w:rsidRPr="00431BA7">
        <w:rPr>
          <w:rFonts w:cstheme="minorHAnsi"/>
          <w:sz w:val="24"/>
          <w:szCs w:val="24"/>
        </w:rPr>
        <w:t xml:space="preserve"> </w:t>
      </w:r>
      <w:r w:rsidR="002D5FF6" w:rsidRPr="00431BA7">
        <w:rPr>
          <w:rFonts w:cstheme="minorHAnsi"/>
          <w:sz w:val="24"/>
          <w:szCs w:val="24"/>
        </w:rPr>
        <w:t xml:space="preserve">language to </w:t>
      </w:r>
      <w:r w:rsidR="00B954F3" w:rsidRPr="00431BA7">
        <w:rPr>
          <w:rFonts w:cstheme="minorHAnsi"/>
          <w:sz w:val="24"/>
          <w:szCs w:val="24"/>
        </w:rPr>
        <w:t>clarify that</w:t>
      </w:r>
      <w:r w:rsidR="000C5B8F" w:rsidRPr="00431BA7">
        <w:rPr>
          <w:rFonts w:cstheme="minorHAnsi"/>
          <w:sz w:val="24"/>
          <w:szCs w:val="24"/>
        </w:rPr>
        <w:t xml:space="preserve"> making use of </w:t>
      </w:r>
      <w:r w:rsidR="00F33965" w:rsidRPr="00431BA7">
        <w:rPr>
          <w:rFonts w:cstheme="minorHAnsi"/>
          <w:sz w:val="24"/>
          <w:szCs w:val="24"/>
        </w:rPr>
        <w:t>information includes, e.g., considering</w:t>
      </w:r>
      <w:r w:rsidR="007910B5" w:rsidRPr="00431BA7">
        <w:rPr>
          <w:rFonts w:cstheme="minorHAnsi"/>
          <w:sz w:val="24"/>
          <w:szCs w:val="24"/>
        </w:rPr>
        <w:t xml:space="preserve"> the information</w:t>
      </w:r>
      <w:r w:rsidR="00967562" w:rsidRPr="00431BA7">
        <w:rPr>
          <w:rFonts w:cstheme="minorHAnsi"/>
          <w:sz w:val="24"/>
          <w:szCs w:val="24"/>
        </w:rPr>
        <w:t xml:space="preserve"> in actions under TSCA</w:t>
      </w:r>
      <w:r w:rsidR="007910B5" w:rsidRPr="00431BA7">
        <w:rPr>
          <w:rFonts w:cstheme="minorHAnsi"/>
          <w:sz w:val="24"/>
          <w:szCs w:val="24"/>
        </w:rPr>
        <w:t xml:space="preserve">. This language is consistent with the language </w:t>
      </w:r>
      <w:r w:rsidR="0057705F" w:rsidRPr="00431BA7">
        <w:rPr>
          <w:rFonts w:cstheme="minorHAnsi"/>
          <w:sz w:val="24"/>
          <w:szCs w:val="24"/>
        </w:rPr>
        <w:t xml:space="preserve">in </w:t>
      </w:r>
      <w:r w:rsidR="007910B5" w:rsidRPr="00431BA7">
        <w:rPr>
          <w:rFonts w:cstheme="minorHAnsi"/>
          <w:sz w:val="24"/>
          <w:szCs w:val="24"/>
        </w:rPr>
        <w:t>section 26(k)</w:t>
      </w:r>
      <w:r w:rsidR="0057705F" w:rsidRPr="00431BA7">
        <w:rPr>
          <w:rFonts w:cstheme="minorHAnsi"/>
          <w:sz w:val="24"/>
          <w:szCs w:val="24"/>
        </w:rPr>
        <w:t xml:space="preserve"> of TSCA, which requires EPA</w:t>
      </w:r>
      <w:r w:rsidR="007910B5" w:rsidRPr="00431BA7">
        <w:rPr>
          <w:rFonts w:cstheme="minorHAnsi"/>
          <w:sz w:val="24"/>
          <w:szCs w:val="24"/>
        </w:rPr>
        <w:t xml:space="preserve"> to </w:t>
      </w:r>
      <w:bookmarkStart w:id="4" w:name="_Hlk115280089"/>
      <w:r w:rsidR="00AA163F" w:rsidRPr="00431BA7">
        <w:rPr>
          <w:rFonts w:cstheme="minorHAnsi"/>
          <w:sz w:val="24"/>
          <w:szCs w:val="24"/>
        </w:rPr>
        <w:t xml:space="preserve">“take into consideration” </w:t>
      </w:r>
      <w:r w:rsidR="007910B5" w:rsidRPr="00431BA7">
        <w:rPr>
          <w:rFonts w:cstheme="minorHAnsi"/>
          <w:sz w:val="24"/>
          <w:szCs w:val="24"/>
        </w:rPr>
        <w:t xml:space="preserve">reasonably available information </w:t>
      </w:r>
      <w:r w:rsidR="0057705F" w:rsidRPr="00431BA7">
        <w:rPr>
          <w:rFonts w:cstheme="minorHAnsi"/>
          <w:sz w:val="24"/>
          <w:szCs w:val="24"/>
        </w:rPr>
        <w:t xml:space="preserve">in </w:t>
      </w:r>
      <w:r w:rsidR="0088467B" w:rsidRPr="00431BA7">
        <w:rPr>
          <w:rFonts w:cstheme="minorHAnsi"/>
          <w:sz w:val="24"/>
          <w:szCs w:val="24"/>
        </w:rPr>
        <w:t>carrying out</w:t>
      </w:r>
      <w:r w:rsidR="0057705F" w:rsidRPr="00431BA7">
        <w:rPr>
          <w:rFonts w:cstheme="minorHAnsi"/>
          <w:sz w:val="24"/>
          <w:szCs w:val="24"/>
        </w:rPr>
        <w:t xml:space="preserve"> sections 4, 5, and 6</w:t>
      </w:r>
      <w:bookmarkEnd w:id="4"/>
      <w:r w:rsidR="0088467B" w:rsidRPr="00431BA7">
        <w:rPr>
          <w:rFonts w:cstheme="minorHAnsi"/>
          <w:sz w:val="24"/>
          <w:szCs w:val="24"/>
        </w:rPr>
        <w:t xml:space="preserve"> of TSCA</w:t>
      </w:r>
      <w:r w:rsidR="00172507" w:rsidRPr="00431BA7">
        <w:rPr>
          <w:rFonts w:cstheme="minorHAnsi"/>
          <w:sz w:val="24"/>
          <w:szCs w:val="24"/>
        </w:rPr>
        <w:t>. Thus, it would cover</w:t>
      </w:r>
      <w:r w:rsidR="0057705F" w:rsidRPr="00431BA7">
        <w:rPr>
          <w:rFonts w:cstheme="minorHAnsi"/>
          <w:sz w:val="24"/>
          <w:szCs w:val="24"/>
        </w:rPr>
        <w:t>, for example,</w:t>
      </w:r>
      <w:r w:rsidR="00172507" w:rsidRPr="00431BA7">
        <w:rPr>
          <w:rFonts w:cstheme="minorHAnsi"/>
          <w:sz w:val="24"/>
          <w:szCs w:val="24"/>
        </w:rPr>
        <w:t xml:space="preserve"> </w:t>
      </w:r>
      <w:r w:rsidR="008B378E" w:rsidRPr="00431BA7">
        <w:rPr>
          <w:rFonts w:cstheme="minorHAnsi"/>
          <w:sz w:val="24"/>
          <w:szCs w:val="24"/>
        </w:rPr>
        <w:t>studies considered during systematic review of section 6 risk evaluations</w:t>
      </w:r>
      <w:r w:rsidR="004112D0" w:rsidRPr="00431BA7">
        <w:rPr>
          <w:rFonts w:cstheme="minorHAnsi"/>
          <w:sz w:val="24"/>
          <w:szCs w:val="24"/>
        </w:rPr>
        <w:t xml:space="preserve">, </w:t>
      </w:r>
      <w:r w:rsidR="00E00ED2" w:rsidRPr="00431BA7">
        <w:rPr>
          <w:rFonts w:cstheme="minorHAnsi"/>
          <w:sz w:val="24"/>
          <w:szCs w:val="24"/>
        </w:rPr>
        <w:t xml:space="preserve">including studies </w:t>
      </w:r>
      <w:r w:rsidR="007F2904" w:rsidRPr="00431BA7">
        <w:rPr>
          <w:rFonts w:cstheme="minorHAnsi"/>
          <w:sz w:val="24"/>
          <w:szCs w:val="24"/>
        </w:rPr>
        <w:t xml:space="preserve">that are not </w:t>
      </w:r>
      <w:r w:rsidR="004112D0" w:rsidRPr="00431BA7">
        <w:rPr>
          <w:rFonts w:cstheme="minorHAnsi"/>
          <w:sz w:val="24"/>
          <w:szCs w:val="24"/>
        </w:rPr>
        <w:t>selected as the “main study</w:t>
      </w:r>
      <w:r w:rsidR="007F2904" w:rsidRPr="00431BA7">
        <w:rPr>
          <w:rFonts w:cstheme="minorHAnsi"/>
          <w:sz w:val="24"/>
          <w:szCs w:val="24"/>
        </w:rPr>
        <w:t xml:space="preserve">” for purposes of identifying the most </w:t>
      </w:r>
      <w:r w:rsidR="005950F2" w:rsidRPr="00431BA7">
        <w:rPr>
          <w:rFonts w:cstheme="minorHAnsi"/>
          <w:sz w:val="24"/>
          <w:szCs w:val="24"/>
        </w:rPr>
        <w:t>sensitive</w:t>
      </w:r>
      <w:r w:rsidR="007F2904" w:rsidRPr="00431BA7">
        <w:rPr>
          <w:rFonts w:cstheme="minorHAnsi"/>
          <w:sz w:val="24"/>
          <w:szCs w:val="24"/>
        </w:rPr>
        <w:t xml:space="preserve"> health outcome or developing the dose</w:t>
      </w:r>
      <w:r w:rsidR="0057705F" w:rsidRPr="00431BA7">
        <w:rPr>
          <w:rFonts w:cstheme="minorHAnsi"/>
          <w:sz w:val="24"/>
          <w:szCs w:val="24"/>
        </w:rPr>
        <w:t>-</w:t>
      </w:r>
      <w:r w:rsidR="007F2904" w:rsidRPr="00431BA7">
        <w:rPr>
          <w:rFonts w:cstheme="minorHAnsi"/>
          <w:sz w:val="24"/>
          <w:szCs w:val="24"/>
        </w:rPr>
        <w:t>response</w:t>
      </w:r>
      <w:r w:rsidR="008B378E" w:rsidRPr="00431BA7">
        <w:rPr>
          <w:rFonts w:cstheme="minorHAnsi"/>
          <w:sz w:val="24"/>
          <w:szCs w:val="24"/>
        </w:rPr>
        <w:t>.</w:t>
      </w:r>
    </w:p>
    <w:p w14:paraId="1C258885" w14:textId="0CC2873A" w:rsidR="00E91545" w:rsidRPr="00431BA7" w:rsidRDefault="00E91545" w:rsidP="00482F8A">
      <w:pPr>
        <w:rPr>
          <w:rFonts w:cstheme="minorHAnsi"/>
          <w:sz w:val="24"/>
          <w:szCs w:val="24"/>
        </w:rPr>
      </w:pPr>
      <w:r w:rsidRPr="00431BA7">
        <w:rPr>
          <w:rFonts w:cstheme="minorHAnsi"/>
          <w:b/>
          <w:bCs/>
          <w:sz w:val="24"/>
          <w:szCs w:val="24"/>
        </w:rPr>
        <w:t xml:space="preserve">Comment:  </w:t>
      </w:r>
      <w:r w:rsidRPr="00431BA7">
        <w:rPr>
          <w:rFonts w:cstheme="minorHAnsi"/>
          <w:sz w:val="24"/>
          <w:szCs w:val="24"/>
        </w:rPr>
        <w:t xml:space="preserve">EPA received several comments on its proposal for resolving conflicts in CBI treatment between statutes (such as when EPA uses and wants or is requested to disclose data originally obtained under a statute other than TSCA). </w:t>
      </w:r>
      <w:r w:rsidR="008F5B0D" w:rsidRPr="00431BA7">
        <w:rPr>
          <w:rFonts w:cstheme="minorHAnsi"/>
          <w:sz w:val="24"/>
          <w:szCs w:val="24"/>
        </w:rPr>
        <w:t xml:space="preserve">Some of these commenters argued that data originally submitted under another statute should not be considered as </w:t>
      </w:r>
      <w:r w:rsidR="008B419D" w:rsidRPr="00431BA7">
        <w:rPr>
          <w:rFonts w:cstheme="minorHAnsi"/>
          <w:sz w:val="24"/>
          <w:szCs w:val="24"/>
        </w:rPr>
        <w:t>“obtained</w:t>
      </w:r>
      <w:r w:rsidR="008F5B0D" w:rsidRPr="00431BA7">
        <w:rPr>
          <w:rFonts w:cstheme="minorHAnsi"/>
          <w:sz w:val="24"/>
          <w:szCs w:val="24"/>
        </w:rPr>
        <w:t xml:space="preserve"> under TSCA</w:t>
      </w:r>
      <w:r w:rsidR="008B419D" w:rsidRPr="00431BA7">
        <w:rPr>
          <w:rFonts w:cstheme="minorHAnsi"/>
          <w:sz w:val="24"/>
          <w:szCs w:val="24"/>
        </w:rPr>
        <w:t>”</w:t>
      </w:r>
      <w:r w:rsidR="008F5B0D" w:rsidRPr="00431BA7">
        <w:rPr>
          <w:rFonts w:cstheme="minorHAnsi"/>
          <w:sz w:val="24"/>
          <w:szCs w:val="24"/>
        </w:rPr>
        <w:t xml:space="preserve"> in the first place (see response to these comments elsewhere in this Unit).  Other commenters</w:t>
      </w:r>
      <w:r w:rsidR="00F4275E" w:rsidRPr="00431BA7">
        <w:rPr>
          <w:rFonts w:cstheme="minorHAnsi"/>
          <w:sz w:val="24"/>
          <w:szCs w:val="24"/>
        </w:rPr>
        <w:t xml:space="preserve"> argued that TSCA disclosure requirements and rules should control, such that if TSCA does not provide protections against disclosure, the information should be disclosed under TSCA regardless of the requirements under which the information was originally submitted, or that when the disclosure provisions of two or more regulations might apply to the same piece of information, the rule that provides for maximum disclosure should be applied. </w:t>
      </w:r>
    </w:p>
    <w:p w14:paraId="71BD5280" w14:textId="2306FB9A" w:rsidR="007B5481" w:rsidRPr="00431BA7" w:rsidRDefault="007B5481" w:rsidP="00482F8A">
      <w:pPr>
        <w:rPr>
          <w:rFonts w:cstheme="minorHAnsi"/>
          <w:b/>
          <w:bCs/>
          <w:sz w:val="24"/>
          <w:szCs w:val="24"/>
        </w:rPr>
      </w:pPr>
      <w:r w:rsidRPr="00431BA7">
        <w:rPr>
          <w:rFonts w:cstheme="minorHAnsi"/>
          <w:sz w:val="24"/>
          <w:szCs w:val="24"/>
        </w:rPr>
        <w:t xml:space="preserve">Source: </w:t>
      </w:r>
      <w:r w:rsidR="00342957" w:rsidRPr="00431BA7">
        <w:rPr>
          <w:rFonts w:cstheme="minorHAnsi"/>
          <w:sz w:val="24"/>
          <w:szCs w:val="24"/>
        </w:rPr>
        <w:t>-</w:t>
      </w:r>
      <w:r w:rsidRPr="00431BA7">
        <w:rPr>
          <w:rFonts w:cstheme="minorHAnsi"/>
          <w:sz w:val="24"/>
          <w:szCs w:val="24"/>
        </w:rPr>
        <w:t xml:space="preserve">0050; </w:t>
      </w:r>
      <w:r w:rsidR="00342957" w:rsidRPr="00431BA7">
        <w:rPr>
          <w:rFonts w:cstheme="minorHAnsi"/>
          <w:sz w:val="24"/>
          <w:szCs w:val="24"/>
        </w:rPr>
        <w:t>-</w:t>
      </w:r>
      <w:r w:rsidRPr="00431BA7">
        <w:rPr>
          <w:rFonts w:cstheme="minorHAnsi"/>
          <w:sz w:val="24"/>
          <w:szCs w:val="24"/>
        </w:rPr>
        <w:t>0049</w:t>
      </w:r>
    </w:p>
    <w:p w14:paraId="02757FC6" w14:textId="5D49E204" w:rsidR="003001E4" w:rsidRPr="00431BA7" w:rsidRDefault="00060C02" w:rsidP="003001E4">
      <w:pPr>
        <w:rPr>
          <w:rFonts w:eastAsia="SimSun"/>
          <w:sz w:val="24"/>
          <w:szCs w:val="24"/>
        </w:rPr>
      </w:pPr>
      <w:r w:rsidRPr="00431BA7">
        <w:rPr>
          <w:rFonts w:cstheme="minorHAnsi"/>
          <w:b/>
          <w:bCs/>
          <w:sz w:val="24"/>
          <w:szCs w:val="24"/>
        </w:rPr>
        <w:t>Response</w:t>
      </w:r>
      <w:r w:rsidR="0039478C" w:rsidRPr="00431BA7">
        <w:rPr>
          <w:rFonts w:cstheme="minorHAnsi"/>
          <w:b/>
          <w:bCs/>
          <w:sz w:val="24"/>
          <w:szCs w:val="24"/>
        </w:rPr>
        <w:t>:</w:t>
      </w:r>
      <w:bookmarkStart w:id="5" w:name="_Hlk116390607"/>
      <w:r w:rsidR="005D664E" w:rsidRPr="00431BA7">
        <w:rPr>
          <w:rFonts w:eastAsia="SimSun"/>
          <w:sz w:val="24"/>
          <w:szCs w:val="24"/>
        </w:rPr>
        <w:t xml:space="preserve">  </w:t>
      </w:r>
      <w:r w:rsidR="003001E4" w:rsidRPr="00431BA7">
        <w:rPr>
          <w:rFonts w:eastAsia="SimSun"/>
          <w:sz w:val="24"/>
          <w:szCs w:val="24"/>
        </w:rPr>
        <w:t xml:space="preserve">EPA first notes that what appears to be a conflict of laws—where one statute requires one outcome and the other requires the opposite – is not the case here.  Instead, the final rule clarifies and reconciles the various protections and disclosure requirements provided under TSCA with those of the other laws by which EPA may receive data that is later used for TSCA purposes. </w:t>
      </w:r>
    </w:p>
    <w:p w14:paraId="76AA3DF1" w14:textId="5DEF045B" w:rsidR="005D664E" w:rsidRPr="00431BA7" w:rsidRDefault="005D664E" w:rsidP="005D664E">
      <w:pPr>
        <w:rPr>
          <w:rFonts w:eastAsia="SimSun"/>
          <w:sz w:val="24"/>
          <w:szCs w:val="24"/>
        </w:rPr>
      </w:pPr>
      <w:r w:rsidRPr="00431BA7">
        <w:rPr>
          <w:rFonts w:eastAsia="SimSun"/>
          <w:sz w:val="24"/>
          <w:szCs w:val="24"/>
        </w:rPr>
        <w:t xml:space="preserve">EPA also notes </w:t>
      </w:r>
      <w:r w:rsidR="003001E4" w:rsidRPr="00431BA7">
        <w:rPr>
          <w:rFonts w:eastAsia="SimSun"/>
          <w:sz w:val="24"/>
          <w:szCs w:val="24"/>
        </w:rPr>
        <w:t xml:space="preserve">that </w:t>
      </w:r>
      <w:r w:rsidRPr="00431BA7">
        <w:rPr>
          <w:rFonts w:eastAsia="SimSun"/>
          <w:sz w:val="24"/>
          <w:szCs w:val="24"/>
        </w:rPr>
        <w:t>the arguably expansive view of what is considered obtained under TSCA in the final rule is balanced by th</w:t>
      </w:r>
      <w:r w:rsidR="003001E4" w:rsidRPr="00431BA7">
        <w:rPr>
          <w:rFonts w:eastAsia="SimSun"/>
          <w:sz w:val="24"/>
          <w:szCs w:val="24"/>
        </w:rPr>
        <w:t>is</w:t>
      </w:r>
      <w:r w:rsidRPr="00431BA7">
        <w:rPr>
          <w:rFonts w:eastAsia="SimSun"/>
          <w:sz w:val="24"/>
          <w:szCs w:val="24"/>
        </w:rPr>
        <w:t xml:space="preserve"> provision concerning reconciliation of possible differences in </w:t>
      </w:r>
      <w:r w:rsidRPr="00431BA7">
        <w:rPr>
          <w:rFonts w:eastAsia="SimSun"/>
          <w:sz w:val="24"/>
          <w:szCs w:val="24"/>
        </w:rPr>
        <w:lastRenderedPageBreak/>
        <w:t>disclosure protections between statutes, where EPA uses information</w:t>
      </w:r>
      <w:r w:rsidR="00E232A2" w:rsidRPr="00431BA7">
        <w:rPr>
          <w:rFonts w:eastAsia="SimSun"/>
          <w:sz w:val="24"/>
          <w:szCs w:val="24"/>
        </w:rPr>
        <w:t xml:space="preserve"> under TSCA</w:t>
      </w:r>
      <w:r w:rsidRPr="00431BA7">
        <w:rPr>
          <w:rFonts w:eastAsia="SimSun"/>
          <w:sz w:val="24"/>
          <w:szCs w:val="24"/>
        </w:rPr>
        <w:t xml:space="preserve"> that was originally provided pursuant to another statute.</w:t>
      </w:r>
    </w:p>
    <w:p w14:paraId="1568D5DB" w14:textId="2E0FDBFD" w:rsidR="00773D4E" w:rsidRPr="00431BA7" w:rsidRDefault="007937F1" w:rsidP="005D664E">
      <w:pPr>
        <w:rPr>
          <w:rFonts w:eastAsia="SimSun"/>
          <w:sz w:val="24"/>
          <w:szCs w:val="24"/>
        </w:rPr>
      </w:pPr>
      <w:r w:rsidRPr="00431BA7">
        <w:rPr>
          <w:rFonts w:eastAsia="SimSun"/>
          <w:b/>
          <w:bCs/>
          <w:sz w:val="24"/>
          <w:szCs w:val="24"/>
        </w:rPr>
        <w:t>Comment</w:t>
      </w:r>
      <w:r w:rsidRPr="00431BA7">
        <w:rPr>
          <w:rFonts w:eastAsia="SimSun"/>
          <w:sz w:val="24"/>
          <w:szCs w:val="24"/>
        </w:rPr>
        <w:t xml:space="preserve">: </w:t>
      </w:r>
      <w:r w:rsidR="00E511C7" w:rsidRPr="00431BA7">
        <w:rPr>
          <w:rFonts w:eastAsia="SimSun"/>
          <w:sz w:val="24"/>
          <w:szCs w:val="24"/>
        </w:rPr>
        <w:t xml:space="preserve">Considering information submitted </w:t>
      </w:r>
      <w:r w:rsidR="003001E4" w:rsidRPr="00431BA7">
        <w:rPr>
          <w:rFonts w:eastAsia="SimSun"/>
          <w:sz w:val="24"/>
          <w:szCs w:val="24"/>
        </w:rPr>
        <w:t xml:space="preserve">under </w:t>
      </w:r>
      <w:r w:rsidR="00E511C7" w:rsidRPr="00431BA7">
        <w:rPr>
          <w:rFonts w:eastAsia="SimSun"/>
          <w:sz w:val="24"/>
          <w:szCs w:val="24"/>
        </w:rPr>
        <w:t xml:space="preserve">another statute </w:t>
      </w:r>
      <w:r w:rsidR="00454126" w:rsidRPr="00431BA7">
        <w:rPr>
          <w:rFonts w:eastAsia="SimSun"/>
          <w:sz w:val="24"/>
          <w:szCs w:val="24"/>
        </w:rPr>
        <w:t xml:space="preserve">but used for TSCA purposes </w:t>
      </w:r>
      <w:r w:rsidR="00E511C7" w:rsidRPr="00431BA7">
        <w:rPr>
          <w:rFonts w:eastAsia="SimSun"/>
          <w:sz w:val="24"/>
          <w:szCs w:val="24"/>
        </w:rPr>
        <w:t xml:space="preserve">to be subject to the confidentiality provisions of that </w:t>
      </w:r>
      <w:r w:rsidR="00797315" w:rsidRPr="00431BA7">
        <w:rPr>
          <w:rFonts w:eastAsia="SimSun"/>
          <w:sz w:val="24"/>
          <w:szCs w:val="24"/>
        </w:rPr>
        <w:t xml:space="preserve">other </w:t>
      </w:r>
      <w:r w:rsidR="00E511C7" w:rsidRPr="00431BA7">
        <w:rPr>
          <w:rFonts w:eastAsia="SimSun"/>
          <w:sz w:val="24"/>
          <w:szCs w:val="24"/>
        </w:rPr>
        <w:t>statute</w:t>
      </w:r>
      <w:r w:rsidR="002B05C6" w:rsidRPr="00431BA7">
        <w:rPr>
          <w:rFonts w:eastAsia="SimSun"/>
          <w:sz w:val="24"/>
          <w:szCs w:val="24"/>
        </w:rPr>
        <w:t xml:space="preserve"> constitutes a violation of TSCA </w:t>
      </w:r>
      <w:r w:rsidR="002976D3" w:rsidRPr="00431BA7">
        <w:rPr>
          <w:rFonts w:eastAsia="SimSun"/>
          <w:sz w:val="24"/>
          <w:szCs w:val="24"/>
        </w:rPr>
        <w:t>s</w:t>
      </w:r>
      <w:r w:rsidR="002B05C6" w:rsidRPr="00431BA7">
        <w:rPr>
          <w:rFonts w:eastAsia="SimSun"/>
          <w:sz w:val="24"/>
          <w:szCs w:val="24"/>
        </w:rPr>
        <w:t>ections 14(a) and 14(b), which require information that is “under” TSCA to be subject to TSCA’s confidentiality provisions</w:t>
      </w:r>
      <w:r w:rsidR="00501250" w:rsidRPr="00431BA7">
        <w:rPr>
          <w:rFonts w:eastAsia="SimSun"/>
          <w:sz w:val="24"/>
          <w:szCs w:val="24"/>
        </w:rPr>
        <w:t>.</w:t>
      </w:r>
    </w:p>
    <w:p w14:paraId="7D7A033F" w14:textId="558F019A" w:rsidR="003001E4" w:rsidRPr="00431BA7" w:rsidRDefault="003001E4" w:rsidP="005D664E">
      <w:pPr>
        <w:rPr>
          <w:rFonts w:eastAsia="SimSun"/>
          <w:sz w:val="24"/>
          <w:szCs w:val="24"/>
        </w:rPr>
      </w:pPr>
      <w:r w:rsidRPr="00431BA7">
        <w:rPr>
          <w:rFonts w:eastAsia="SimSun"/>
          <w:sz w:val="24"/>
          <w:szCs w:val="24"/>
        </w:rPr>
        <w:t xml:space="preserve">Source: </w:t>
      </w:r>
      <w:r w:rsidRPr="00431BA7">
        <w:rPr>
          <w:rFonts w:cstheme="minorHAnsi"/>
          <w:sz w:val="24"/>
          <w:szCs w:val="24"/>
        </w:rPr>
        <w:t>-0050; -0049</w:t>
      </w:r>
    </w:p>
    <w:p w14:paraId="7F0E48B5" w14:textId="7216706F" w:rsidR="002F6C57" w:rsidRPr="00431BA7" w:rsidRDefault="002F6C57" w:rsidP="005D664E">
      <w:pPr>
        <w:rPr>
          <w:rFonts w:eastAsia="SimSun"/>
          <w:sz w:val="24"/>
          <w:szCs w:val="24"/>
        </w:rPr>
      </w:pPr>
      <w:r w:rsidRPr="00431BA7">
        <w:rPr>
          <w:rFonts w:eastAsia="SimSun"/>
          <w:b/>
          <w:bCs/>
          <w:sz w:val="24"/>
          <w:szCs w:val="24"/>
        </w:rPr>
        <w:t>Response</w:t>
      </w:r>
      <w:r w:rsidR="003D5D8B" w:rsidRPr="00431BA7">
        <w:rPr>
          <w:rFonts w:eastAsia="SimSun"/>
          <w:sz w:val="24"/>
          <w:szCs w:val="24"/>
        </w:rPr>
        <w:t xml:space="preserve">: </w:t>
      </w:r>
      <w:r w:rsidR="0007613B" w:rsidRPr="00431BA7">
        <w:rPr>
          <w:rFonts w:eastAsia="SimSun"/>
          <w:sz w:val="24"/>
          <w:szCs w:val="24"/>
        </w:rPr>
        <w:t xml:space="preserve">EPA believes that this comment has </w:t>
      </w:r>
      <w:r w:rsidR="00084FA7" w:rsidRPr="00431BA7">
        <w:rPr>
          <w:rFonts w:eastAsia="SimSun"/>
          <w:sz w:val="24"/>
          <w:szCs w:val="24"/>
        </w:rPr>
        <w:t xml:space="preserve">some </w:t>
      </w:r>
      <w:r w:rsidR="0007613B" w:rsidRPr="00431BA7">
        <w:rPr>
          <w:rFonts w:eastAsia="SimSun"/>
          <w:sz w:val="24"/>
          <w:szCs w:val="24"/>
        </w:rPr>
        <w:t>merit</w:t>
      </w:r>
      <w:r w:rsidR="00A01F22" w:rsidRPr="00431BA7">
        <w:rPr>
          <w:rFonts w:eastAsia="SimSun"/>
          <w:sz w:val="24"/>
          <w:szCs w:val="24"/>
        </w:rPr>
        <w:t xml:space="preserve"> (see explanation below)</w:t>
      </w:r>
      <w:r w:rsidR="0007613B" w:rsidRPr="00431BA7">
        <w:rPr>
          <w:rFonts w:eastAsia="SimSun"/>
          <w:sz w:val="24"/>
          <w:szCs w:val="24"/>
        </w:rPr>
        <w:t xml:space="preserve">. </w:t>
      </w:r>
      <w:r w:rsidR="00AB42FD" w:rsidRPr="00431BA7">
        <w:rPr>
          <w:rFonts w:eastAsia="SimSun"/>
          <w:sz w:val="24"/>
          <w:szCs w:val="24"/>
        </w:rPr>
        <w:t xml:space="preserve">The Agency has </w:t>
      </w:r>
      <w:r w:rsidR="00594A3D" w:rsidRPr="00431BA7">
        <w:rPr>
          <w:rFonts w:eastAsia="SimSun"/>
          <w:sz w:val="24"/>
          <w:szCs w:val="24"/>
        </w:rPr>
        <w:t xml:space="preserve">therefore </w:t>
      </w:r>
      <w:r w:rsidR="00AB42FD" w:rsidRPr="00431BA7">
        <w:rPr>
          <w:rFonts w:eastAsia="SimSun"/>
          <w:sz w:val="24"/>
          <w:szCs w:val="24"/>
        </w:rPr>
        <w:t xml:space="preserve">modified </w:t>
      </w:r>
      <w:r w:rsidR="00594A3D" w:rsidRPr="00431BA7">
        <w:rPr>
          <w:rFonts w:eastAsia="SimSun"/>
          <w:sz w:val="24"/>
          <w:szCs w:val="24"/>
        </w:rPr>
        <w:t>the</w:t>
      </w:r>
      <w:r w:rsidR="00AB42FD" w:rsidRPr="00431BA7">
        <w:rPr>
          <w:rFonts w:eastAsia="SimSun"/>
          <w:sz w:val="24"/>
          <w:szCs w:val="24"/>
        </w:rPr>
        <w:t xml:space="preserve"> language </w:t>
      </w:r>
      <w:r w:rsidR="003321B6" w:rsidRPr="00431BA7">
        <w:rPr>
          <w:rFonts w:eastAsia="SimSun"/>
          <w:sz w:val="24"/>
          <w:szCs w:val="24"/>
        </w:rPr>
        <w:t xml:space="preserve">in </w:t>
      </w:r>
      <w:r w:rsidR="00745253" w:rsidRPr="00431BA7">
        <w:rPr>
          <w:rFonts w:eastAsia="SimSun"/>
          <w:sz w:val="24"/>
          <w:szCs w:val="24"/>
        </w:rPr>
        <w:t xml:space="preserve">40 CFR </w:t>
      </w:r>
      <w:r w:rsidR="003321B6" w:rsidRPr="00431BA7">
        <w:rPr>
          <w:rFonts w:eastAsia="SimSun"/>
          <w:sz w:val="24"/>
          <w:szCs w:val="24"/>
        </w:rPr>
        <w:t xml:space="preserve">703.1 </w:t>
      </w:r>
      <w:r w:rsidR="00AB42FD" w:rsidRPr="00431BA7">
        <w:rPr>
          <w:rFonts w:eastAsia="SimSun"/>
          <w:sz w:val="24"/>
          <w:szCs w:val="24"/>
        </w:rPr>
        <w:t xml:space="preserve">to </w:t>
      </w:r>
      <w:proofErr w:type="gramStart"/>
      <w:r w:rsidR="00D35C1F" w:rsidRPr="00431BA7">
        <w:rPr>
          <w:rFonts w:eastAsia="SimSun"/>
          <w:sz w:val="24"/>
          <w:szCs w:val="24"/>
        </w:rPr>
        <w:t>more accurately reflect the law</w:t>
      </w:r>
      <w:proofErr w:type="gramEnd"/>
      <w:r w:rsidR="00D35C1F" w:rsidRPr="00431BA7">
        <w:rPr>
          <w:rFonts w:eastAsia="SimSun"/>
          <w:sz w:val="24"/>
          <w:szCs w:val="24"/>
        </w:rPr>
        <w:t xml:space="preserve">. </w:t>
      </w:r>
      <w:r w:rsidR="00907E2A" w:rsidRPr="00431BA7">
        <w:rPr>
          <w:rFonts w:eastAsia="SimSun"/>
          <w:sz w:val="24"/>
          <w:szCs w:val="24"/>
        </w:rPr>
        <w:t xml:space="preserve">The </w:t>
      </w:r>
      <w:r w:rsidR="00642253" w:rsidRPr="00431BA7">
        <w:rPr>
          <w:rFonts w:eastAsia="SimSun"/>
          <w:sz w:val="24"/>
          <w:szCs w:val="24"/>
        </w:rPr>
        <w:t>provision now makes clear that the confidentiality provisions of section 14 apply</w:t>
      </w:r>
      <w:r w:rsidR="0036083C" w:rsidRPr="00431BA7">
        <w:rPr>
          <w:rFonts w:eastAsia="SimSun"/>
          <w:sz w:val="24"/>
          <w:szCs w:val="24"/>
        </w:rPr>
        <w:t xml:space="preserve"> to such data</w:t>
      </w:r>
      <w:r w:rsidR="0099245A" w:rsidRPr="00431BA7">
        <w:rPr>
          <w:rFonts w:eastAsia="SimSun"/>
          <w:sz w:val="24"/>
          <w:szCs w:val="24"/>
        </w:rPr>
        <w:t xml:space="preserve">. </w:t>
      </w:r>
      <w:r w:rsidR="003A79FA" w:rsidRPr="00431BA7">
        <w:rPr>
          <w:rFonts w:eastAsia="SimSun"/>
          <w:sz w:val="24"/>
          <w:szCs w:val="24"/>
        </w:rPr>
        <w:t>However,</w:t>
      </w:r>
      <w:r w:rsidR="00CE321E" w:rsidRPr="00431BA7">
        <w:rPr>
          <w:rFonts w:eastAsia="SimSun"/>
          <w:sz w:val="24"/>
          <w:szCs w:val="24"/>
        </w:rPr>
        <w:t xml:space="preserve"> in some cases</w:t>
      </w:r>
      <w:r w:rsidR="00842AD9" w:rsidRPr="00431BA7">
        <w:rPr>
          <w:rFonts w:eastAsia="SimSun"/>
          <w:sz w:val="24"/>
          <w:szCs w:val="24"/>
        </w:rPr>
        <w:t xml:space="preserve"> data not eligible for </w:t>
      </w:r>
      <w:r w:rsidR="00F928EE" w:rsidRPr="00431BA7">
        <w:rPr>
          <w:rFonts w:eastAsia="SimSun"/>
          <w:sz w:val="24"/>
          <w:szCs w:val="24"/>
        </w:rPr>
        <w:t>business confidentiality under section 14</w:t>
      </w:r>
      <w:r w:rsidR="003C277D" w:rsidRPr="00431BA7">
        <w:rPr>
          <w:rFonts w:eastAsia="SimSun"/>
          <w:sz w:val="24"/>
          <w:szCs w:val="24"/>
        </w:rPr>
        <w:t xml:space="preserve"> may be</w:t>
      </w:r>
      <w:r w:rsidR="00257539" w:rsidRPr="00431BA7">
        <w:rPr>
          <w:rFonts w:eastAsia="SimSun"/>
          <w:sz w:val="24"/>
          <w:szCs w:val="24"/>
        </w:rPr>
        <w:t xml:space="preserve"> withheld for other reasons</w:t>
      </w:r>
      <w:r w:rsidR="00683B0B" w:rsidRPr="00431BA7">
        <w:rPr>
          <w:rFonts w:eastAsia="SimSun"/>
          <w:sz w:val="24"/>
          <w:szCs w:val="24"/>
        </w:rPr>
        <w:t>, such as personal privacy</w:t>
      </w:r>
      <w:r w:rsidR="00A80C7D" w:rsidRPr="00431BA7">
        <w:rPr>
          <w:rFonts w:eastAsia="SimSun"/>
          <w:sz w:val="24"/>
          <w:szCs w:val="24"/>
        </w:rPr>
        <w:t xml:space="preserve"> or national security. </w:t>
      </w:r>
      <w:r w:rsidR="006C2F89" w:rsidRPr="00431BA7">
        <w:rPr>
          <w:rFonts w:eastAsia="SimSun"/>
          <w:sz w:val="24"/>
          <w:szCs w:val="24"/>
        </w:rPr>
        <w:t>This same principle applies to provisions</w:t>
      </w:r>
      <w:r w:rsidR="006A5F30" w:rsidRPr="00431BA7">
        <w:rPr>
          <w:rFonts w:eastAsia="SimSun"/>
          <w:sz w:val="24"/>
          <w:szCs w:val="24"/>
        </w:rPr>
        <w:t xml:space="preserve"> in the s</w:t>
      </w:r>
      <w:r w:rsidR="009B5CFE" w:rsidRPr="00431BA7">
        <w:rPr>
          <w:rFonts w:eastAsia="SimSun"/>
          <w:sz w:val="24"/>
          <w:szCs w:val="24"/>
        </w:rPr>
        <w:t>tatute under which the information was originally submitted</w:t>
      </w:r>
      <w:r w:rsidR="000A5AA8" w:rsidRPr="00431BA7">
        <w:rPr>
          <w:rFonts w:eastAsia="SimSun"/>
          <w:sz w:val="24"/>
          <w:szCs w:val="24"/>
        </w:rPr>
        <w:t>, where such</w:t>
      </w:r>
      <w:r w:rsidR="00F22C51" w:rsidRPr="00431BA7">
        <w:rPr>
          <w:rFonts w:eastAsia="SimSun"/>
          <w:sz w:val="24"/>
          <w:szCs w:val="24"/>
        </w:rPr>
        <w:t xml:space="preserve"> provisions are not based on business confidentiality.</w:t>
      </w:r>
      <w:r w:rsidR="00842AD9" w:rsidRPr="00431BA7">
        <w:rPr>
          <w:rFonts w:eastAsia="SimSun"/>
          <w:sz w:val="24"/>
          <w:szCs w:val="24"/>
        </w:rPr>
        <w:t xml:space="preserve"> </w:t>
      </w:r>
      <w:r w:rsidR="00EF5F52" w:rsidRPr="00431BA7">
        <w:rPr>
          <w:rFonts w:eastAsia="SimSun"/>
          <w:sz w:val="24"/>
          <w:szCs w:val="24"/>
        </w:rPr>
        <w:t xml:space="preserve"> </w:t>
      </w:r>
      <w:r w:rsidR="004C0D38" w:rsidRPr="00431BA7">
        <w:rPr>
          <w:rFonts w:eastAsia="SimSun"/>
          <w:sz w:val="24"/>
          <w:szCs w:val="24"/>
        </w:rPr>
        <w:t xml:space="preserve">Where certain data is not entitled to business confidentiality protections under TSCA but does enjoy disclosure protections under another statute for other reasons (e.g., FIFRA section 10(g)), EPA does not believe there is a conflict between the two statutory provisions. It therefore does not violate TSCA for EPA to withhold or restrict disclosure of such data pursuant to </w:t>
      </w:r>
      <w:r w:rsidR="00A35461" w:rsidRPr="00431BA7">
        <w:rPr>
          <w:rFonts w:eastAsia="SimSun"/>
          <w:sz w:val="24"/>
          <w:szCs w:val="24"/>
        </w:rPr>
        <w:t xml:space="preserve">such </w:t>
      </w:r>
      <w:r w:rsidR="004C0D38" w:rsidRPr="00431BA7">
        <w:rPr>
          <w:rFonts w:eastAsia="SimSun"/>
          <w:sz w:val="24"/>
          <w:szCs w:val="24"/>
        </w:rPr>
        <w:t xml:space="preserve">requirements of the other law. </w:t>
      </w:r>
    </w:p>
    <w:p w14:paraId="795EFA62" w14:textId="2C48F52E" w:rsidR="00E046AB" w:rsidRPr="00431BA7" w:rsidRDefault="00E046AB" w:rsidP="00E046AB">
      <w:pPr>
        <w:rPr>
          <w:rFonts w:eastAsia="SimSun"/>
          <w:sz w:val="24"/>
          <w:szCs w:val="24"/>
        </w:rPr>
      </w:pPr>
      <w:r w:rsidRPr="00431BA7">
        <w:rPr>
          <w:rFonts w:eastAsia="SimSun"/>
          <w:sz w:val="24"/>
          <w:szCs w:val="24"/>
        </w:rPr>
        <w:t xml:space="preserve">Data used under TSCA might have originally been submitted under and remain protected or restricted from disclosure under another statute, such as FIFRA 10(g), which limits disclosure of certain pesticide data to persons who can certify they are not acting on behalf of a multinational competitor of the data submitter. Recognizing that while certain data is not entitled to business confidentiality protections under TSCA, it </w:t>
      </w:r>
      <w:r w:rsidRPr="00431BA7">
        <w:rPr>
          <w:rFonts w:eastAsia="SimSun"/>
          <w:i/>
          <w:sz w:val="24"/>
          <w:szCs w:val="24"/>
        </w:rPr>
        <w:t>does</w:t>
      </w:r>
      <w:r w:rsidRPr="00431BA7">
        <w:rPr>
          <w:rFonts w:eastAsia="SimSun"/>
          <w:sz w:val="24"/>
          <w:szCs w:val="24"/>
        </w:rPr>
        <w:t xml:space="preserve"> enjoy disclosure protections under another statute for other reasons (</w:t>
      </w:r>
      <w:proofErr w:type="spellStart"/>
      <w:r w:rsidRPr="00431BA7">
        <w:rPr>
          <w:rFonts w:eastAsia="SimSun"/>
          <w:sz w:val="24"/>
          <w:szCs w:val="24"/>
        </w:rPr>
        <w:t>e.g</w:t>
      </w:r>
      <w:proofErr w:type="spellEnd"/>
      <w:r w:rsidRPr="00431BA7">
        <w:rPr>
          <w:rFonts w:eastAsia="SimSun"/>
          <w:sz w:val="24"/>
          <w:szCs w:val="24"/>
        </w:rPr>
        <w:t xml:space="preserve">, FIFRA 10(g)) does not put EPA in the position of having to resolve a conflict. It does not violate TSCA to withhold or restrict disclosure of such data pursuant to the requirements of the other law. Note that FIFRA section 10(g) does not prevent the public from getting access to health and safety data originally submitted under FIFRA and later used for TSCA purposes. FIFRA section 10(g) merely keeps such data from being disclosed to multinational pesticide companies (see </w:t>
      </w:r>
      <w:r w:rsidR="00303128" w:rsidRPr="00431BA7">
        <w:rPr>
          <w:rFonts w:eastAsia="SimSun"/>
          <w:sz w:val="24"/>
          <w:szCs w:val="24"/>
        </w:rPr>
        <w:t xml:space="preserve">comment response immediately </w:t>
      </w:r>
      <w:r w:rsidRPr="00431BA7">
        <w:rPr>
          <w:rFonts w:eastAsia="SimSun"/>
          <w:sz w:val="24"/>
          <w:szCs w:val="24"/>
        </w:rPr>
        <w:t>below), and EPA has long interpreted section 10(g) as permitting release of summaries of data without restriction.</w:t>
      </w:r>
    </w:p>
    <w:p w14:paraId="2F1AD3AE" w14:textId="4F317481" w:rsidR="005D664E" w:rsidRPr="00431BA7" w:rsidRDefault="000756B6" w:rsidP="005D664E">
      <w:pPr>
        <w:rPr>
          <w:rFonts w:cstheme="minorHAnsi"/>
          <w:sz w:val="24"/>
          <w:szCs w:val="24"/>
        </w:rPr>
      </w:pPr>
      <w:r w:rsidRPr="00431BA7">
        <w:rPr>
          <w:rFonts w:eastAsia="SimSun"/>
          <w:sz w:val="24"/>
          <w:szCs w:val="24"/>
        </w:rPr>
        <w:t>The only true potential for conflict</w:t>
      </w:r>
      <w:r w:rsidR="000311CE" w:rsidRPr="00431BA7">
        <w:rPr>
          <w:rFonts w:eastAsia="SimSun"/>
          <w:sz w:val="24"/>
          <w:szCs w:val="24"/>
        </w:rPr>
        <w:t xml:space="preserve"> is where </w:t>
      </w:r>
      <w:r w:rsidR="005D664E" w:rsidRPr="00431BA7">
        <w:rPr>
          <w:rFonts w:eastAsia="SimSun"/>
          <w:sz w:val="24"/>
          <w:szCs w:val="24"/>
        </w:rPr>
        <w:t xml:space="preserve">TSCA </w:t>
      </w:r>
      <w:r w:rsidR="001F3E09" w:rsidRPr="00431BA7">
        <w:rPr>
          <w:rFonts w:eastAsia="SimSun"/>
          <w:sz w:val="24"/>
          <w:szCs w:val="24"/>
        </w:rPr>
        <w:t>explicitly requires the disclosure</w:t>
      </w:r>
      <w:r w:rsidR="00D14E5C" w:rsidRPr="00431BA7">
        <w:rPr>
          <w:rFonts w:eastAsia="SimSun"/>
          <w:sz w:val="24"/>
          <w:szCs w:val="24"/>
        </w:rPr>
        <w:t xml:space="preserve"> of such data</w:t>
      </w:r>
      <w:r w:rsidR="00913A00" w:rsidRPr="00431BA7">
        <w:rPr>
          <w:rFonts w:eastAsia="SimSun"/>
          <w:sz w:val="24"/>
          <w:szCs w:val="24"/>
        </w:rPr>
        <w:t xml:space="preserve"> such as </w:t>
      </w:r>
      <w:r w:rsidR="00DA2A24" w:rsidRPr="00431BA7">
        <w:rPr>
          <w:rFonts w:eastAsia="SimSun"/>
          <w:sz w:val="24"/>
          <w:szCs w:val="24"/>
        </w:rPr>
        <w:t>TSCA section 26(j)(2), which requires disclosure of test data submitted under sec</w:t>
      </w:r>
      <w:r w:rsidR="00C2583A" w:rsidRPr="00431BA7">
        <w:rPr>
          <w:rFonts w:eastAsia="SimSun"/>
          <w:sz w:val="24"/>
          <w:szCs w:val="24"/>
        </w:rPr>
        <w:t>tion 4 where that information is not protected by section 14</w:t>
      </w:r>
      <w:r w:rsidR="00D14E5C" w:rsidRPr="00431BA7">
        <w:rPr>
          <w:rFonts w:eastAsia="SimSun"/>
          <w:sz w:val="24"/>
          <w:szCs w:val="24"/>
        </w:rPr>
        <w:t>.</w:t>
      </w:r>
      <w:r w:rsidR="008025E0" w:rsidRPr="00431BA7">
        <w:rPr>
          <w:rFonts w:eastAsia="SimSun"/>
          <w:sz w:val="24"/>
          <w:szCs w:val="24"/>
        </w:rPr>
        <w:t xml:space="preserve"> In this </w:t>
      </w:r>
      <w:proofErr w:type="gramStart"/>
      <w:r w:rsidR="008025E0" w:rsidRPr="00431BA7">
        <w:rPr>
          <w:rFonts w:eastAsia="SimSun"/>
          <w:sz w:val="24"/>
          <w:szCs w:val="24"/>
        </w:rPr>
        <w:t>particular</w:t>
      </w:r>
      <w:r w:rsidR="003700FC" w:rsidRPr="00431BA7">
        <w:rPr>
          <w:rFonts w:eastAsia="SimSun"/>
          <w:sz w:val="24"/>
          <w:szCs w:val="24"/>
        </w:rPr>
        <w:t xml:space="preserve"> situation</w:t>
      </w:r>
      <w:proofErr w:type="gramEnd"/>
      <w:r w:rsidR="003700FC" w:rsidRPr="00431BA7">
        <w:rPr>
          <w:rFonts w:eastAsia="SimSun"/>
          <w:sz w:val="24"/>
          <w:szCs w:val="24"/>
        </w:rPr>
        <w:t xml:space="preserve">, TSCA would control the availability of such data. </w:t>
      </w:r>
      <w:r w:rsidR="000246D3" w:rsidRPr="00431BA7">
        <w:rPr>
          <w:rFonts w:eastAsia="SimSun"/>
          <w:sz w:val="24"/>
          <w:szCs w:val="24"/>
        </w:rPr>
        <w:t>However, where TSCA does not explicitly mandate disclosure</w:t>
      </w:r>
      <w:r w:rsidR="00164863" w:rsidRPr="00431BA7">
        <w:rPr>
          <w:rFonts w:eastAsia="SimSun"/>
          <w:sz w:val="24"/>
          <w:szCs w:val="24"/>
        </w:rPr>
        <w:t xml:space="preserve">, </w:t>
      </w:r>
      <w:r w:rsidR="00A7075D" w:rsidRPr="00431BA7">
        <w:rPr>
          <w:rFonts w:eastAsia="SimSun"/>
          <w:sz w:val="24"/>
          <w:szCs w:val="24"/>
        </w:rPr>
        <w:t xml:space="preserve">the fact that section 14 </w:t>
      </w:r>
      <w:r w:rsidR="00D81532" w:rsidRPr="00431BA7">
        <w:rPr>
          <w:rFonts w:eastAsia="SimSun"/>
          <w:sz w:val="24"/>
          <w:szCs w:val="24"/>
        </w:rPr>
        <w:t>business confidentiality protection is unavailable would not</w:t>
      </w:r>
      <w:r w:rsidR="00D02690" w:rsidRPr="00431BA7">
        <w:rPr>
          <w:rFonts w:eastAsia="SimSun"/>
          <w:sz w:val="24"/>
          <w:szCs w:val="24"/>
        </w:rPr>
        <w:t xml:space="preserve"> rule out other</w:t>
      </w:r>
      <w:r w:rsidR="004A0BE2" w:rsidRPr="00431BA7">
        <w:rPr>
          <w:rFonts w:eastAsia="SimSun"/>
          <w:sz w:val="24"/>
          <w:szCs w:val="24"/>
        </w:rPr>
        <w:t xml:space="preserve"> bases for protecting the information.</w:t>
      </w:r>
      <w:r w:rsidR="00D14E5C" w:rsidRPr="00431BA7">
        <w:rPr>
          <w:rFonts w:eastAsia="SimSun"/>
          <w:sz w:val="24"/>
          <w:szCs w:val="24"/>
        </w:rPr>
        <w:t xml:space="preserve"> </w:t>
      </w:r>
      <w:r w:rsidR="004A0BE2" w:rsidRPr="00431BA7">
        <w:rPr>
          <w:rFonts w:cstheme="minorHAnsi"/>
          <w:sz w:val="24"/>
          <w:szCs w:val="24"/>
        </w:rPr>
        <w:t xml:space="preserve"> </w:t>
      </w:r>
      <w:r w:rsidR="004A0BE2" w:rsidRPr="00431BA7">
        <w:rPr>
          <w:rFonts w:eastAsia="SimSun"/>
          <w:sz w:val="24"/>
          <w:szCs w:val="24"/>
        </w:rPr>
        <w:t>Such an</w:t>
      </w:r>
      <w:r w:rsidR="005D664E" w:rsidRPr="00431BA7">
        <w:rPr>
          <w:rFonts w:cstheme="minorHAnsi"/>
          <w:sz w:val="24"/>
          <w:szCs w:val="24"/>
        </w:rPr>
        <w:t xml:space="preserve"> approach is consistent with TSCA </w:t>
      </w:r>
      <w:r w:rsidR="005D664E" w:rsidRPr="00431BA7">
        <w:rPr>
          <w:rFonts w:cstheme="minorHAnsi"/>
          <w:sz w:val="24"/>
          <w:szCs w:val="24"/>
        </w:rPr>
        <w:lastRenderedPageBreak/>
        <w:t>section 14(b)(2). TSCA section 14(b)(2) states that TSCA section 14(a) “does not prohibit the disclosure of” certain health and safety studies and information obtained from a study, while section 14(a) states that EPA “shall not disclose” certain information. EPA has explained that this means information under section 14(b)(2) “</w:t>
      </w:r>
      <w:r w:rsidR="005D664E" w:rsidRPr="00431BA7">
        <w:rPr>
          <w:sz w:val="24"/>
          <w:szCs w:val="24"/>
        </w:rPr>
        <w:t>will not be afforded TSCA ‘Confidential Business Information’ (CBI) protection</w:t>
      </w:r>
      <w:r w:rsidR="00086CDD" w:rsidRPr="00431BA7">
        <w:rPr>
          <w:sz w:val="24"/>
          <w:szCs w:val="24"/>
        </w:rPr>
        <w:t>.” (</w:t>
      </w:r>
      <w:r w:rsidR="005D664E" w:rsidRPr="00431BA7">
        <w:rPr>
          <w:sz w:val="24"/>
          <w:szCs w:val="24"/>
        </w:rPr>
        <w:t>68 FR 33129, 33136 (June 3, 2003)</w:t>
      </w:r>
      <w:r w:rsidR="00086CDD" w:rsidRPr="00431BA7">
        <w:rPr>
          <w:sz w:val="24"/>
          <w:szCs w:val="24"/>
        </w:rPr>
        <w:t>)</w:t>
      </w:r>
      <w:r w:rsidR="005D664E" w:rsidRPr="00431BA7">
        <w:rPr>
          <w:sz w:val="24"/>
          <w:szCs w:val="24"/>
        </w:rPr>
        <w:t>. Information can both not be afforded TSCA CBI protection and be provided protection under another statute. Because TSCA section 14(b)(2) is limited to lifting TSCA CBI protection for, but not compelling disclosure of, such information, continuing to protect from disclosure information pursuant to another statute</w:t>
      </w:r>
      <w:r w:rsidR="00015E7D" w:rsidRPr="00431BA7">
        <w:rPr>
          <w:sz w:val="24"/>
          <w:szCs w:val="24"/>
        </w:rPr>
        <w:t>, for reasons other than business confidentiality,</w:t>
      </w:r>
      <w:r w:rsidR="005D664E" w:rsidRPr="00431BA7">
        <w:rPr>
          <w:sz w:val="24"/>
          <w:szCs w:val="24"/>
        </w:rPr>
        <w:t xml:space="preserve"> avoids conflict with TSCA section 14(b)(2). </w:t>
      </w:r>
    </w:p>
    <w:p w14:paraId="7C1732F8" w14:textId="3538E8D9" w:rsidR="005D664E" w:rsidRPr="00431BA7" w:rsidRDefault="005D664E" w:rsidP="00086CDD">
      <w:pPr>
        <w:rPr>
          <w:rFonts w:eastAsia="SimSun"/>
          <w:sz w:val="24"/>
          <w:szCs w:val="24"/>
        </w:rPr>
      </w:pPr>
      <w:r w:rsidRPr="00431BA7">
        <w:rPr>
          <w:rFonts w:eastAsia="SimSun"/>
          <w:sz w:val="24"/>
          <w:szCs w:val="24"/>
        </w:rPr>
        <w:t>EPA has therefore replaced the proposed language concerning resolution of conflicts with language clarifying that information that was originally provided under a statute other than TSCA may be protected from disclosure under the provisions of that statute for reasons other than claims of business confidentiality, even if the information is subsequently used under TSCA and would not be eligible for business confidentiality protections under TSCA</w:t>
      </w:r>
      <w:r w:rsidR="00930EF0" w:rsidRPr="00431BA7">
        <w:rPr>
          <w:rFonts w:eastAsia="SimSun"/>
          <w:sz w:val="24"/>
          <w:szCs w:val="24"/>
        </w:rPr>
        <w:t>, except where TSCA expressly requires disclosure of that information</w:t>
      </w:r>
      <w:r w:rsidRPr="00431BA7">
        <w:rPr>
          <w:rFonts w:eastAsia="SimSun"/>
          <w:sz w:val="24"/>
          <w:szCs w:val="24"/>
        </w:rPr>
        <w:t xml:space="preserve">.  </w:t>
      </w:r>
    </w:p>
    <w:p w14:paraId="331E8622" w14:textId="4B992F47" w:rsidR="00015E7D" w:rsidRPr="00431BA7" w:rsidRDefault="00B26D81" w:rsidP="005445F4">
      <w:pPr>
        <w:rPr>
          <w:sz w:val="24"/>
          <w:szCs w:val="24"/>
        </w:rPr>
      </w:pPr>
      <w:r w:rsidRPr="00431BA7">
        <w:rPr>
          <w:sz w:val="24"/>
          <w:szCs w:val="24"/>
        </w:rPr>
        <w:t xml:space="preserve"> </w:t>
      </w:r>
      <w:r w:rsidRPr="00431BA7">
        <w:rPr>
          <w:b/>
          <w:bCs/>
          <w:sz w:val="24"/>
          <w:szCs w:val="24"/>
        </w:rPr>
        <w:t>Comment</w:t>
      </w:r>
      <w:r w:rsidRPr="00431BA7">
        <w:rPr>
          <w:sz w:val="24"/>
          <w:szCs w:val="24"/>
        </w:rPr>
        <w:t xml:space="preserve">: </w:t>
      </w:r>
      <w:r w:rsidR="00C74FCB" w:rsidRPr="00431BA7">
        <w:rPr>
          <w:sz w:val="24"/>
          <w:szCs w:val="24"/>
        </w:rPr>
        <w:t xml:space="preserve"> EPA’s approach is less transparent than the existing regulation at 40 CFR </w:t>
      </w:r>
      <w:r w:rsidR="002548A0" w:rsidRPr="00431BA7">
        <w:rPr>
          <w:sz w:val="24"/>
          <w:szCs w:val="24"/>
        </w:rPr>
        <w:t>2.</w:t>
      </w:r>
      <w:r w:rsidR="00E262C3" w:rsidRPr="00431BA7">
        <w:rPr>
          <w:sz w:val="24"/>
          <w:szCs w:val="24"/>
        </w:rPr>
        <w:t>202(d</w:t>
      </w:r>
      <w:r w:rsidR="02185292" w:rsidRPr="00431BA7">
        <w:rPr>
          <w:sz w:val="24"/>
          <w:szCs w:val="24"/>
        </w:rPr>
        <w:t>)</w:t>
      </w:r>
      <w:r w:rsidR="00015E7D" w:rsidRPr="00431BA7">
        <w:rPr>
          <w:sz w:val="24"/>
          <w:szCs w:val="24"/>
        </w:rPr>
        <w:t>:</w:t>
      </w:r>
    </w:p>
    <w:p w14:paraId="3C8A9617" w14:textId="2DF6B809" w:rsidR="00015E7D" w:rsidRPr="00431BA7" w:rsidRDefault="00015E7D" w:rsidP="003531CD">
      <w:pPr>
        <w:ind w:left="720"/>
        <w:rPr>
          <w:sz w:val="24"/>
          <w:szCs w:val="24"/>
        </w:rPr>
      </w:pPr>
      <w:r w:rsidRPr="00431BA7">
        <w:rPr>
          <w:sz w:val="24"/>
          <w:szCs w:val="24"/>
        </w:rPr>
        <w:t xml:space="preserve"> If two or more of the sections containing special rules [§§ 2.301 through 2.311] apply to the </w:t>
      </w:r>
      <w:proofErr w:type="gramStart"/>
      <w:r w:rsidRPr="00431BA7">
        <w:rPr>
          <w:sz w:val="24"/>
          <w:szCs w:val="24"/>
        </w:rPr>
        <w:t>particular information</w:t>
      </w:r>
      <w:proofErr w:type="gramEnd"/>
      <w:r w:rsidRPr="00431BA7">
        <w:rPr>
          <w:sz w:val="24"/>
          <w:szCs w:val="24"/>
        </w:rPr>
        <w:t xml:space="preserve"> in question, and the applicable sections prescribe conflicting special rules for the treatment of the information, the rule which provides greater or wider availability to the public of the information shall govern.</w:t>
      </w:r>
    </w:p>
    <w:p w14:paraId="0207CCE1" w14:textId="77777777" w:rsidR="00E046AB" w:rsidRPr="00431BA7" w:rsidRDefault="00E046AB" w:rsidP="00E046AB">
      <w:pPr>
        <w:rPr>
          <w:rFonts w:eastAsia="SimSun"/>
          <w:sz w:val="24"/>
          <w:szCs w:val="24"/>
        </w:rPr>
      </w:pPr>
      <w:r w:rsidRPr="00431BA7">
        <w:rPr>
          <w:rFonts w:eastAsia="SimSun"/>
          <w:sz w:val="24"/>
          <w:szCs w:val="24"/>
        </w:rPr>
        <w:t xml:space="preserve">Source: </w:t>
      </w:r>
      <w:r w:rsidRPr="00431BA7">
        <w:rPr>
          <w:rFonts w:cstheme="minorHAnsi"/>
          <w:sz w:val="24"/>
          <w:szCs w:val="24"/>
        </w:rPr>
        <w:t>-0050; -0049</w:t>
      </w:r>
    </w:p>
    <w:p w14:paraId="1889828D" w14:textId="112085CB" w:rsidR="00C74FCB" w:rsidRPr="00431BA7" w:rsidRDefault="00687CED" w:rsidP="005445F4">
      <w:pPr>
        <w:rPr>
          <w:color w:val="00B050"/>
          <w:sz w:val="24"/>
          <w:szCs w:val="24"/>
        </w:rPr>
      </w:pPr>
      <w:r w:rsidRPr="00431BA7">
        <w:rPr>
          <w:b/>
          <w:bCs/>
          <w:sz w:val="24"/>
          <w:szCs w:val="24"/>
        </w:rPr>
        <w:t>Response</w:t>
      </w:r>
      <w:r w:rsidRPr="00431BA7">
        <w:rPr>
          <w:sz w:val="24"/>
          <w:szCs w:val="24"/>
        </w:rPr>
        <w:t xml:space="preserve">: </w:t>
      </w:r>
      <w:r w:rsidR="009369FC" w:rsidRPr="00431BA7">
        <w:rPr>
          <w:sz w:val="24"/>
          <w:szCs w:val="24"/>
        </w:rPr>
        <w:t xml:space="preserve">EPA finalized </w:t>
      </w:r>
      <w:r w:rsidR="00E046AB" w:rsidRPr="00431BA7">
        <w:rPr>
          <w:sz w:val="24"/>
          <w:szCs w:val="24"/>
        </w:rPr>
        <w:t xml:space="preserve">40 CFR 2.202(d) </w:t>
      </w:r>
      <w:r w:rsidR="009369FC" w:rsidRPr="00431BA7">
        <w:rPr>
          <w:sz w:val="24"/>
          <w:szCs w:val="24"/>
        </w:rPr>
        <w:t xml:space="preserve">in 1976, </w:t>
      </w:r>
      <w:r w:rsidR="00E046AB" w:rsidRPr="00431BA7">
        <w:rPr>
          <w:sz w:val="24"/>
          <w:szCs w:val="24"/>
        </w:rPr>
        <w:t>noting</w:t>
      </w:r>
      <w:r w:rsidR="009369FC" w:rsidRPr="00431BA7">
        <w:rPr>
          <w:sz w:val="24"/>
          <w:szCs w:val="24"/>
        </w:rPr>
        <w:t xml:space="preserve"> </w:t>
      </w:r>
      <w:r w:rsidR="005A6E18" w:rsidRPr="00431BA7">
        <w:rPr>
          <w:sz w:val="24"/>
          <w:szCs w:val="24"/>
        </w:rPr>
        <w:t xml:space="preserve">that “The first inquiry, in a situation where two statutes appear to require different results concerning the treatment of the same information, should be an examination to determine whether in fact there is a conflict. If there is a true conflict, however, the </w:t>
      </w:r>
      <w:r w:rsidR="00B448D4" w:rsidRPr="00431BA7">
        <w:rPr>
          <w:sz w:val="24"/>
          <w:szCs w:val="24"/>
        </w:rPr>
        <w:t>Administrator</w:t>
      </w:r>
      <w:r w:rsidR="005A6E18" w:rsidRPr="00431BA7">
        <w:rPr>
          <w:sz w:val="24"/>
          <w:szCs w:val="24"/>
        </w:rPr>
        <w:t xml:space="preserve"> believes that the public policy in favor of disclosure of information should prevail.</w:t>
      </w:r>
      <w:r w:rsidR="00ED1473" w:rsidRPr="00431BA7">
        <w:rPr>
          <w:sz w:val="24"/>
          <w:szCs w:val="24"/>
        </w:rPr>
        <w:t xml:space="preserve">” 41 FR </w:t>
      </w:r>
      <w:r w:rsidR="00DE1466" w:rsidRPr="00431BA7">
        <w:rPr>
          <w:sz w:val="24"/>
          <w:szCs w:val="24"/>
        </w:rPr>
        <w:t xml:space="preserve">36902, </w:t>
      </w:r>
      <w:r w:rsidR="00ED1473" w:rsidRPr="00431BA7">
        <w:rPr>
          <w:sz w:val="24"/>
          <w:szCs w:val="24"/>
        </w:rPr>
        <w:t xml:space="preserve">36919 (Sept. 1, 1976). </w:t>
      </w:r>
      <w:r w:rsidR="00130966" w:rsidRPr="00431BA7">
        <w:rPr>
          <w:sz w:val="24"/>
          <w:szCs w:val="24"/>
        </w:rPr>
        <w:t xml:space="preserve"> EPA is not aware of any instance where </w:t>
      </w:r>
      <w:r w:rsidR="000037CE" w:rsidRPr="00431BA7">
        <w:rPr>
          <w:sz w:val="24"/>
          <w:szCs w:val="24"/>
        </w:rPr>
        <w:t xml:space="preserve">40 CFR 2.306 was found to </w:t>
      </w:r>
      <w:r w:rsidR="000B05E3" w:rsidRPr="00431BA7">
        <w:rPr>
          <w:sz w:val="24"/>
          <w:szCs w:val="24"/>
        </w:rPr>
        <w:t xml:space="preserve">conflict with any of the other special rules in 40 CFR §§ 2.301 through 2.311, let alone where </w:t>
      </w:r>
      <w:r w:rsidR="00130966" w:rsidRPr="00431BA7">
        <w:rPr>
          <w:sz w:val="24"/>
          <w:szCs w:val="24"/>
        </w:rPr>
        <w:t xml:space="preserve">it disclosed information </w:t>
      </w:r>
      <w:r w:rsidR="00295B31" w:rsidRPr="00431BA7">
        <w:rPr>
          <w:sz w:val="24"/>
          <w:szCs w:val="24"/>
        </w:rPr>
        <w:t xml:space="preserve">pursuant to that provision. </w:t>
      </w:r>
      <w:bookmarkEnd w:id="5"/>
      <w:r w:rsidR="000B05E3" w:rsidRPr="00431BA7">
        <w:rPr>
          <w:sz w:val="24"/>
          <w:szCs w:val="24"/>
        </w:rPr>
        <w:t xml:space="preserve"> Instead, uncertainty over how to handle the differing CBI provisions of FIFRA and TSCA has likely hindered cross-office sharing </w:t>
      </w:r>
      <w:r w:rsidR="00ED5C39" w:rsidRPr="00431BA7">
        <w:rPr>
          <w:sz w:val="24"/>
          <w:szCs w:val="24"/>
        </w:rPr>
        <w:t xml:space="preserve">of information </w:t>
      </w:r>
      <w:r w:rsidR="000B05E3" w:rsidRPr="00431BA7">
        <w:rPr>
          <w:sz w:val="24"/>
          <w:szCs w:val="24"/>
        </w:rPr>
        <w:t xml:space="preserve">within EPA.  Given the </w:t>
      </w:r>
      <w:r w:rsidR="009004B3" w:rsidRPr="00431BA7">
        <w:rPr>
          <w:sz w:val="24"/>
          <w:szCs w:val="24"/>
        </w:rPr>
        <w:t xml:space="preserve">enhanced requirements in the Lautenberg </w:t>
      </w:r>
      <w:r w:rsidR="00E327E3" w:rsidRPr="00431BA7">
        <w:rPr>
          <w:sz w:val="24"/>
          <w:szCs w:val="24"/>
        </w:rPr>
        <w:t>a</w:t>
      </w:r>
      <w:r w:rsidR="009004B3" w:rsidRPr="00431BA7">
        <w:rPr>
          <w:sz w:val="24"/>
          <w:szCs w:val="24"/>
        </w:rPr>
        <w:t>mendments to consider or use existing data EPA has access to, not limited to data originally submitted under TSCA, EPA expects resolution of these uncertainties is a necessity, especially with respect to use of data originally submitted under FIFRA.</w:t>
      </w:r>
      <w:r w:rsidR="00161883" w:rsidRPr="00431BA7">
        <w:rPr>
          <w:sz w:val="24"/>
          <w:szCs w:val="24"/>
        </w:rPr>
        <w:t xml:space="preserve"> </w:t>
      </w:r>
    </w:p>
    <w:p w14:paraId="7419FB2D" w14:textId="666B5B5D" w:rsidR="00F03CF4" w:rsidRPr="00431BA7" w:rsidRDefault="4937E371" w:rsidP="005445F4">
      <w:pPr>
        <w:rPr>
          <w:sz w:val="24"/>
          <w:szCs w:val="24"/>
        </w:rPr>
      </w:pPr>
      <w:r w:rsidRPr="00431BA7">
        <w:rPr>
          <w:sz w:val="24"/>
          <w:szCs w:val="24"/>
        </w:rPr>
        <w:t xml:space="preserve">Protection of confidential data under TSCA and FIFRA are in many ways similar. </w:t>
      </w:r>
      <w:r w:rsidR="2AE59147" w:rsidRPr="00431BA7">
        <w:rPr>
          <w:sz w:val="24"/>
          <w:szCs w:val="24"/>
        </w:rPr>
        <w:t xml:space="preserve">Both statutes reference the FOIA standard as the ultimate basis for determining whether information </w:t>
      </w:r>
      <w:r w:rsidR="10C06FB4" w:rsidRPr="00431BA7">
        <w:rPr>
          <w:sz w:val="24"/>
          <w:szCs w:val="24"/>
        </w:rPr>
        <w:t>is entitled to confidential treatment, and both statutes exempt</w:t>
      </w:r>
      <w:r w:rsidR="0FC7514E" w:rsidRPr="00431BA7">
        <w:rPr>
          <w:sz w:val="24"/>
          <w:szCs w:val="24"/>
        </w:rPr>
        <w:t xml:space="preserve"> from confidential treatment</w:t>
      </w:r>
      <w:r w:rsidR="1A3B8C60" w:rsidRPr="00431BA7">
        <w:rPr>
          <w:sz w:val="24"/>
          <w:szCs w:val="24"/>
        </w:rPr>
        <w:t xml:space="preserve"> </w:t>
      </w:r>
      <w:r w:rsidR="1A3B8C60" w:rsidRPr="00431BA7">
        <w:rPr>
          <w:sz w:val="24"/>
          <w:szCs w:val="24"/>
        </w:rPr>
        <w:lastRenderedPageBreak/>
        <w:t>studies and related information</w:t>
      </w:r>
      <w:r w:rsidR="08650E1D" w:rsidRPr="00431BA7">
        <w:rPr>
          <w:sz w:val="24"/>
          <w:szCs w:val="24"/>
        </w:rPr>
        <w:t xml:space="preserve">: health and safety studies under </w:t>
      </w:r>
      <w:r w:rsidR="7428A6D2" w:rsidRPr="00431BA7">
        <w:rPr>
          <w:sz w:val="24"/>
          <w:szCs w:val="24"/>
        </w:rPr>
        <w:t xml:space="preserve">section 14(b)(2) of TSCA, and safety and efficacy studies under FIFRA section </w:t>
      </w:r>
      <w:r w:rsidR="08630198" w:rsidRPr="00431BA7">
        <w:rPr>
          <w:sz w:val="24"/>
          <w:szCs w:val="24"/>
        </w:rPr>
        <w:t xml:space="preserve">10(d)(1). </w:t>
      </w:r>
      <w:r w:rsidR="11B51C73" w:rsidRPr="00431BA7">
        <w:rPr>
          <w:sz w:val="24"/>
          <w:szCs w:val="24"/>
        </w:rPr>
        <w:t>T</w:t>
      </w:r>
      <w:r w:rsidR="5B62B502" w:rsidRPr="00431BA7">
        <w:rPr>
          <w:sz w:val="24"/>
          <w:szCs w:val="24"/>
        </w:rPr>
        <w:t xml:space="preserve">he two statutes </w:t>
      </w:r>
      <w:r w:rsidR="7555A2F5" w:rsidRPr="00431BA7">
        <w:rPr>
          <w:sz w:val="24"/>
          <w:szCs w:val="24"/>
        </w:rPr>
        <w:t xml:space="preserve">do </w:t>
      </w:r>
      <w:r w:rsidR="5B62B502" w:rsidRPr="00431BA7">
        <w:rPr>
          <w:sz w:val="24"/>
          <w:szCs w:val="24"/>
        </w:rPr>
        <w:t>carve out somewhat different</w:t>
      </w:r>
      <w:r w:rsidR="5D03DFDD" w:rsidRPr="00431BA7">
        <w:rPr>
          <w:sz w:val="24"/>
          <w:szCs w:val="24"/>
        </w:rPr>
        <w:t xml:space="preserve"> exceptions to the lack of confidential treatment</w:t>
      </w:r>
      <w:r w:rsidR="7555A2F5" w:rsidRPr="00431BA7">
        <w:rPr>
          <w:sz w:val="24"/>
          <w:szCs w:val="24"/>
        </w:rPr>
        <w:t>,</w:t>
      </w:r>
      <w:r w:rsidR="31E92D33" w:rsidRPr="00431BA7">
        <w:rPr>
          <w:sz w:val="24"/>
          <w:szCs w:val="24"/>
        </w:rPr>
        <w:t xml:space="preserve"> but the chief</w:t>
      </w:r>
      <w:r w:rsidR="6C1B4AA3" w:rsidRPr="00431BA7">
        <w:rPr>
          <w:sz w:val="24"/>
          <w:szCs w:val="24"/>
        </w:rPr>
        <w:t xml:space="preserve"> </w:t>
      </w:r>
      <w:r w:rsidR="31E92D33" w:rsidRPr="00431BA7">
        <w:rPr>
          <w:sz w:val="24"/>
          <w:szCs w:val="24"/>
        </w:rPr>
        <w:t xml:space="preserve">difference in that regard is </w:t>
      </w:r>
      <w:r w:rsidR="6D6A937F" w:rsidRPr="00431BA7">
        <w:rPr>
          <w:sz w:val="24"/>
          <w:szCs w:val="24"/>
        </w:rPr>
        <w:t>that FIFRA</w:t>
      </w:r>
      <w:r w:rsidR="54366BA1" w:rsidRPr="00431BA7">
        <w:rPr>
          <w:sz w:val="24"/>
          <w:szCs w:val="24"/>
        </w:rPr>
        <w:t xml:space="preserve"> </w:t>
      </w:r>
      <w:r w:rsidR="5784D07A" w:rsidRPr="00431BA7">
        <w:rPr>
          <w:sz w:val="24"/>
          <w:szCs w:val="24"/>
        </w:rPr>
        <w:t xml:space="preserve">does not exempt confidential protection for </w:t>
      </w:r>
      <w:r w:rsidR="74FB8F47" w:rsidRPr="00431BA7">
        <w:rPr>
          <w:sz w:val="24"/>
          <w:szCs w:val="24"/>
        </w:rPr>
        <w:t xml:space="preserve">the identities </w:t>
      </w:r>
      <w:r w:rsidR="6F071AB4" w:rsidRPr="00431BA7">
        <w:rPr>
          <w:sz w:val="24"/>
          <w:szCs w:val="24"/>
        </w:rPr>
        <w:t xml:space="preserve">and percentages </w:t>
      </w:r>
      <w:r w:rsidR="74FB8F47" w:rsidRPr="00431BA7">
        <w:rPr>
          <w:sz w:val="24"/>
          <w:szCs w:val="24"/>
        </w:rPr>
        <w:t>of specific</w:t>
      </w:r>
      <w:r w:rsidR="34F5D38E" w:rsidRPr="00431BA7">
        <w:rPr>
          <w:sz w:val="24"/>
          <w:szCs w:val="24"/>
        </w:rPr>
        <w:t xml:space="preserve"> inert ingredients</w:t>
      </w:r>
      <w:r w:rsidR="0F724214" w:rsidRPr="00431BA7">
        <w:rPr>
          <w:sz w:val="24"/>
          <w:szCs w:val="24"/>
        </w:rPr>
        <w:t xml:space="preserve"> in specific pesticides (FIFRA section 10(d)(1)(</w:t>
      </w:r>
      <w:r w:rsidR="6F071AB4" w:rsidRPr="00431BA7">
        <w:rPr>
          <w:sz w:val="24"/>
          <w:szCs w:val="24"/>
        </w:rPr>
        <w:t>C)</w:t>
      </w:r>
      <w:r w:rsidR="005A526A" w:rsidRPr="00431BA7">
        <w:rPr>
          <w:sz w:val="24"/>
          <w:szCs w:val="24"/>
        </w:rPr>
        <w:t>)</w:t>
      </w:r>
      <w:r w:rsidR="6F071AB4" w:rsidRPr="00431BA7">
        <w:rPr>
          <w:sz w:val="24"/>
          <w:szCs w:val="24"/>
        </w:rPr>
        <w:t xml:space="preserve">. </w:t>
      </w:r>
      <w:r w:rsidR="660BA58C" w:rsidRPr="00431BA7">
        <w:rPr>
          <w:sz w:val="24"/>
          <w:szCs w:val="24"/>
        </w:rPr>
        <w:t xml:space="preserve">Such information </w:t>
      </w:r>
      <w:r w:rsidR="2580534D" w:rsidRPr="00431BA7">
        <w:rPr>
          <w:sz w:val="24"/>
          <w:szCs w:val="24"/>
        </w:rPr>
        <w:t>rarely if ever</w:t>
      </w:r>
      <w:r w:rsidR="660BA58C" w:rsidRPr="00431BA7">
        <w:rPr>
          <w:sz w:val="24"/>
          <w:szCs w:val="24"/>
        </w:rPr>
        <w:t xml:space="preserve"> appear</w:t>
      </w:r>
      <w:r w:rsidR="2580534D" w:rsidRPr="00431BA7">
        <w:rPr>
          <w:sz w:val="24"/>
          <w:szCs w:val="24"/>
        </w:rPr>
        <w:t>s</w:t>
      </w:r>
      <w:r w:rsidR="660BA58C" w:rsidRPr="00431BA7">
        <w:rPr>
          <w:sz w:val="24"/>
          <w:szCs w:val="24"/>
        </w:rPr>
        <w:t xml:space="preserve"> in </w:t>
      </w:r>
      <w:r w:rsidR="427EE2E6" w:rsidRPr="00431BA7">
        <w:rPr>
          <w:sz w:val="24"/>
          <w:szCs w:val="24"/>
        </w:rPr>
        <w:t xml:space="preserve">the specific studies on specific chemical substances </w:t>
      </w:r>
      <w:r w:rsidR="6DC20365" w:rsidRPr="00431BA7">
        <w:rPr>
          <w:sz w:val="24"/>
          <w:szCs w:val="24"/>
        </w:rPr>
        <w:t xml:space="preserve">that would </w:t>
      </w:r>
      <w:r w:rsidR="427EE2E6" w:rsidRPr="00431BA7">
        <w:rPr>
          <w:sz w:val="24"/>
          <w:szCs w:val="24"/>
        </w:rPr>
        <w:t xml:space="preserve">generally </w:t>
      </w:r>
      <w:r w:rsidR="6DC20365" w:rsidRPr="00431BA7">
        <w:rPr>
          <w:sz w:val="24"/>
          <w:szCs w:val="24"/>
        </w:rPr>
        <w:t xml:space="preserve">be </w:t>
      </w:r>
      <w:r w:rsidR="427EE2E6" w:rsidRPr="00431BA7">
        <w:rPr>
          <w:sz w:val="24"/>
          <w:szCs w:val="24"/>
        </w:rPr>
        <w:t>used for TSCA</w:t>
      </w:r>
      <w:r w:rsidR="6DC20365" w:rsidRPr="00431BA7">
        <w:rPr>
          <w:sz w:val="24"/>
          <w:szCs w:val="24"/>
        </w:rPr>
        <w:t xml:space="preserve"> assessments.</w:t>
      </w:r>
      <w:r w:rsidR="28F1396E" w:rsidRPr="00431BA7">
        <w:rPr>
          <w:sz w:val="24"/>
          <w:szCs w:val="24"/>
        </w:rPr>
        <w:t xml:space="preserve"> </w:t>
      </w:r>
      <w:r w:rsidR="6B0B62BA" w:rsidRPr="00431BA7">
        <w:rPr>
          <w:sz w:val="24"/>
          <w:szCs w:val="24"/>
        </w:rPr>
        <w:t>Thus</w:t>
      </w:r>
      <w:r w:rsidR="00485006" w:rsidRPr="00431BA7">
        <w:rPr>
          <w:sz w:val="24"/>
          <w:szCs w:val="24"/>
        </w:rPr>
        <w:t>,</w:t>
      </w:r>
      <w:r w:rsidR="6B0B62BA" w:rsidRPr="00431BA7">
        <w:rPr>
          <w:sz w:val="24"/>
          <w:szCs w:val="24"/>
        </w:rPr>
        <w:t xml:space="preserve"> it is unlikely that</w:t>
      </w:r>
      <w:r w:rsidR="53BD91BC" w:rsidRPr="00431BA7">
        <w:rPr>
          <w:sz w:val="24"/>
          <w:szCs w:val="24"/>
        </w:rPr>
        <w:t xml:space="preserve"> </w:t>
      </w:r>
      <w:r w:rsidR="58F5025D" w:rsidRPr="00431BA7">
        <w:rPr>
          <w:sz w:val="24"/>
          <w:szCs w:val="24"/>
        </w:rPr>
        <w:t xml:space="preserve">consideration under TSCA of </w:t>
      </w:r>
      <w:r w:rsidR="53BD91BC" w:rsidRPr="00431BA7">
        <w:rPr>
          <w:sz w:val="24"/>
          <w:szCs w:val="24"/>
        </w:rPr>
        <w:t xml:space="preserve">studies submitted under FIFRA </w:t>
      </w:r>
      <w:r w:rsidR="25D31DEF" w:rsidRPr="00431BA7">
        <w:rPr>
          <w:sz w:val="24"/>
          <w:szCs w:val="24"/>
        </w:rPr>
        <w:t xml:space="preserve">would result in significant </w:t>
      </w:r>
      <w:r w:rsidR="44541038" w:rsidRPr="00431BA7">
        <w:rPr>
          <w:sz w:val="24"/>
          <w:szCs w:val="24"/>
        </w:rPr>
        <w:t>information</w:t>
      </w:r>
      <w:r w:rsidR="3E521266" w:rsidRPr="00431BA7">
        <w:rPr>
          <w:sz w:val="24"/>
          <w:szCs w:val="24"/>
        </w:rPr>
        <w:t xml:space="preserve"> being determined not to be entitled to confidential treatment under TSCA </w:t>
      </w:r>
      <w:r w:rsidR="654FBC80" w:rsidRPr="00431BA7">
        <w:rPr>
          <w:sz w:val="24"/>
          <w:szCs w:val="24"/>
        </w:rPr>
        <w:t>where it would be entitled to confidential treatment under FIFRA.</w:t>
      </w:r>
    </w:p>
    <w:p w14:paraId="0FDC2F7D" w14:textId="427E03D7" w:rsidR="00C13A93" w:rsidRPr="00431BA7" w:rsidRDefault="654FBC80" w:rsidP="38541D56">
      <w:pPr>
        <w:rPr>
          <w:sz w:val="24"/>
          <w:szCs w:val="24"/>
        </w:rPr>
      </w:pPr>
      <w:r w:rsidRPr="00431BA7">
        <w:rPr>
          <w:sz w:val="24"/>
          <w:szCs w:val="24"/>
        </w:rPr>
        <w:t>Where the two statutes differ i</w:t>
      </w:r>
      <w:r w:rsidR="3B05ED61" w:rsidRPr="00431BA7">
        <w:rPr>
          <w:sz w:val="24"/>
          <w:szCs w:val="24"/>
        </w:rPr>
        <w:t>s in how</w:t>
      </w:r>
      <w:r w:rsidR="232560B4" w:rsidRPr="00431BA7">
        <w:rPr>
          <w:sz w:val="24"/>
          <w:szCs w:val="24"/>
        </w:rPr>
        <w:t xml:space="preserve"> non-confidential data </w:t>
      </w:r>
      <w:r w:rsidR="497E535E" w:rsidRPr="00431BA7">
        <w:rPr>
          <w:sz w:val="24"/>
          <w:szCs w:val="24"/>
        </w:rPr>
        <w:t xml:space="preserve">are made available to the public. </w:t>
      </w:r>
      <w:r w:rsidR="51F5DD23" w:rsidRPr="00431BA7">
        <w:rPr>
          <w:sz w:val="24"/>
          <w:szCs w:val="24"/>
        </w:rPr>
        <w:t>FIFRA</w:t>
      </w:r>
      <w:r w:rsidR="753190EA" w:rsidRPr="00431BA7">
        <w:rPr>
          <w:sz w:val="24"/>
          <w:szCs w:val="24"/>
        </w:rPr>
        <w:t xml:space="preserve"> section 10(g)</w:t>
      </w:r>
      <w:r w:rsidR="649CE723" w:rsidRPr="00431BA7">
        <w:rPr>
          <w:sz w:val="24"/>
          <w:szCs w:val="24"/>
        </w:rPr>
        <w:t xml:space="preserve"> provides that</w:t>
      </w:r>
      <w:r w:rsidR="39209832" w:rsidRPr="00431BA7">
        <w:rPr>
          <w:sz w:val="24"/>
          <w:szCs w:val="24"/>
        </w:rPr>
        <w:t xml:space="preserve"> data </w:t>
      </w:r>
      <w:r w:rsidR="758AFD39" w:rsidRPr="00431BA7">
        <w:rPr>
          <w:sz w:val="24"/>
          <w:szCs w:val="24"/>
        </w:rPr>
        <w:t xml:space="preserve">submitted </w:t>
      </w:r>
      <w:r w:rsidR="6C42ECC6" w:rsidRPr="00431BA7">
        <w:rPr>
          <w:sz w:val="24"/>
          <w:szCs w:val="24"/>
        </w:rPr>
        <w:t>by a pesticide registrant or applicant</w:t>
      </w:r>
      <w:r w:rsidR="09F9F71E" w:rsidRPr="00431BA7">
        <w:rPr>
          <w:sz w:val="24"/>
          <w:szCs w:val="24"/>
        </w:rPr>
        <w:t xml:space="preserve"> may not be </w:t>
      </w:r>
      <w:r w:rsidR="420DC000" w:rsidRPr="00431BA7">
        <w:rPr>
          <w:sz w:val="24"/>
          <w:szCs w:val="24"/>
        </w:rPr>
        <w:t xml:space="preserve">disclosed to </w:t>
      </w:r>
      <w:r w:rsidR="3C2551CE" w:rsidRPr="00431BA7">
        <w:rPr>
          <w:sz w:val="24"/>
          <w:szCs w:val="24"/>
        </w:rPr>
        <w:t>“any employee or agent of any business or other entity engaged in the production, sale, or distribution of pesticides in countries other than the United States or in addition to the United States or to any other person who intends to deliver such data to such foreign or multinational business or entity unless the applicant or registrant has consented to such disclosure</w:t>
      </w:r>
      <w:r w:rsidR="009835F2" w:rsidRPr="00431BA7">
        <w:rPr>
          <w:sz w:val="24"/>
          <w:szCs w:val="24"/>
        </w:rPr>
        <w:t>.</w:t>
      </w:r>
      <w:r w:rsidR="3C2551CE" w:rsidRPr="00431BA7">
        <w:rPr>
          <w:sz w:val="24"/>
          <w:szCs w:val="24"/>
        </w:rPr>
        <w:t>”</w:t>
      </w:r>
      <w:r w:rsidR="52748E86" w:rsidRPr="00431BA7">
        <w:rPr>
          <w:sz w:val="24"/>
          <w:szCs w:val="24"/>
        </w:rPr>
        <w:t xml:space="preserve"> EPA</w:t>
      </w:r>
      <w:r w:rsidR="54B93E6A" w:rsidRPr="00431BA7">
        <w:rPr>
          <w:sz w:val="24"/>
          <w:szCs w:val="24"/>
        </w:rPr>
        <w:t xml:space="preserve"> requires persons requesting such data to</w:t>
      </w:r>
      <w:r w:rsidR="519EBA67" w:rsidRPr="00431BA7">
        <w:rPr>
          <w:sz w:val="24"/>
          <w:szCs w:val="24"/>
        </w:rPr>
        <w:t xml:space="preserve"> affirm that they are not</w:t>
      </w:r>
      <w:r w:rsidR="7C8A924D" w:rsidRPr="00431BA7">
        <w:rPr>
          <w:sz w:val="24"/>
          <w:szCs w:val="24"/>
        </w:rPr>
        <w:t xml:space="preserve"> acting on behalf of such a multinational pesticide company.</w:t>
      </w:r>
      <w:r w:rsidR="10BAB090" w:rsidRPr="00431BA7">
        <w:rPr>
          <w:sz w:val="24"/>
          <w:szCs w:val="24"/>
        </w:rPr>
        <w:t xml:space="preserve"> The Agency considers</w:t>
      </w:r>
      <w:r w:rsidR="011CB96F" w:rsidRPr="00431BA7">
        <w:rPr>
          <w:sz w:val="24"/>
          <w:szCs w:val="24"/>
        </w:rPr>
        <w:t xml:space="preserve"> section 10(g) to </w:t>
      </w:r>
      <w:r w:rsidR="00E419D8" w:rsidRPr="00431BA7">
        <w:rPr>
          <w:sz w:val="24"/>
          <w:szCs w:val="24"/>
        </w:rPr>
        <w:t xml:space="preserve">be </w:t>
      </w:r>
      <w:r w:rsidR="7E74BFD0" w:rsidRPr="00431BA7">
        <w:rPr>
          <w:sz w:val="24"/>
          <w:szCs w:val="24"/>
        </w:rPr>
        <w:t>a</w:t>
      </w:r>
      <w:r w:rsidR="778EE12D" w:rsidRPr="00431BA7">
        <w:rPr>
          <w:sz w:val="24"/>
          <w:szCs w:val="24"/>
        </w:rPr>
        <w:t xml:space="preserve"> FOIA Exemption 3 statute rather than</w:t>
      </w:r>
      <w:r w:rsidR="5128B3C2" w:rsidRPr="00431BA7">
        <w:rPr>
          <w:sz w:val="24"/>
          <w:szCs w:val="24"/>
        </w:rPr>
        <w:t xml:space="preserve"> providing confidentiality under FOIA Exemption 4. </w:t>
      </w:r>
      <w:r w:rsidR="060FA517" w:rsidRPr="00431BA7">
        <w:rPr>
          <w:sz w:val="24"/>
          <w:szCs w:val="24"/>
        </w:rPr>
        <w:t>Note that</w:t>
      </w:r>
      <w:r w:rsidR="23B79024" w:rsidRPr="00431BA7">
        <w:rPr>
          <w:sz w:val="24"/>
          <w:szCs w:val="24"/>
        </w:rPr>
        <w:t xml:space="preserve"> section 10(g) still allows </w:t>
      </w:r>
      <w:r w:rsidR="6866AE60" w:rsidRPr="00431BA7">
        <w:rPr>
          <w:sz w:val="24"/>
          <w:szCs w:val="24"/>
        </w:rPr>
        <w:t>disclosure of</w:t>
      </w:r>
      <w:r w:rsidR="22FE6C4E" w:rsidRPr="00431BA7">
        <w:rPr>
          <w:sz w:val="24"/>
          <w:szCs w:val="24"/>
        </w:rPr>
        <w:t xml:space="preserve"> significant information </w:t>
      </w:r>
      <w:r w:rsidR="66D617DF" w:rsidRPr="00431BA7">
        <w:rPr>
          <w:sz w:val="24"/>
          <w:szCs w:val="24"/>
        </w:rPr>
        <w:t>about</w:t>
      </w:r>
      <w:r w:rsidR="2F3029A5" w:rsidRPr="00431BA7">
        <w:rPr>
          <w:sz w:val="24"/>
          <w:szCs w:val="24"/>
        </w:rPr>
        <w:t xml:space="preserve"> information that is subject</w:t>
      </w:r>
      <w:r w:rsidR="34A77C60" w:rsidRPr="00431BA7">
        <w:rPr>
          <w:sz w:val="24"/>
          <w:szCs w:val="24"/>
        </w:rPr>
        <w:t xml:space="preserve"> to the provision. </w:t>
      </w:r>
      <w:r w:rsidR="1B33A475" w:rsidRPr="00431BA7">
        <w:rPr>
          <w:sz w:val="24"/>
          <w:szCs w:val="24"/>
        </w:rPr>
        <w:t xml:space="preserve">EPA has interpreted </w:t>
      </w:r>
      <w:r w:rsidR="628FE3A8" w:rsidRPr="00431BA7">
        <w:rPr>
          <w:sz w:val="24"/>
          <w:szCs w:val="24"/>
        </w:rPr>
        <w:t xml:space="preserve">section 10(g) to allow </w:t>
      </w:r>
      <w:r w:rsidR="4D610C3A" w:rsidRPr="00431BA7">
        <w:rPr>
          <w:sz w:val="24"/>
          <w:szCs w:val="24"/>
        </w:rPr>
        <w:t xml:space="preserve">complete public disclosure of </w:t>
      </w:r>
      <w:r w:rsidR="1D10A29C" w:rsidRPr="00431BA7">
        <w:rPr>
          <w:sz w:val="24"/>
          <w:szCs w:val="24"/>
        </w:rPr>
        <w:t xml:space="preserve">information that does not </w:t>
      </w:r>
      <w:r w:rsidR="1005E675" w:rsidRPr="00431BA7">
        <w:rPr>
          <w:sz w:val="24"/>
          <w:szCs w:val="24"/>
        </w:rPr>
        <w:t>“reveal the full methodology and complete results of the study, test, or experiment, and all explanatory information necessary to understand the methodology or interpret the results.”</w:t>
      </w:r>
      <w:r w:rsidR="490B452D" w:rsidRPr="00431BA7">
        <w:rPr>
          <w:sz w:val="24"/>
          <w:szCs w:val="24"/>
        </w:rPr>
        <w:t xml:space="preserve"> (See, </w:t>
      </w:r>
      <w:r w:rsidR="490B452D" w:rsidRPr="00431BA7">
        <w:rPr>
          <w:i/>
          <w:sz w:val="24"/>
          <w:szCs w:val="24"/>
        </w:rPr>
        <w:t>e.g.,</w:t>
      </w:r>
      <w:r w:rsidR="490B452D" w:rsidRPr="00431BA7">
        <w:rPr>
          <w:sz w:val="24"/>
          <w:szCs w:val="24"/>
        </w:rPr>
        <w:t xml:space="preserve"> 40 CFR 158.33(</w:t>
      </w:r>
      <w:r w:rsidR="76E33FD1" w:rsidRPr="00431BA7">
        <w:rPr>
          <w:sz w:val="24"/>
          <w:szCs w:val="24"/>
        </w:rPr>
        <w:t>d</w:t>
      </w:r>
      <w:r w:rsidR="4A4532CB" w:rsidRPr="00431BA7">
        <w:rPr>
          <w:sz w:val="24"/>
          <w:szCs w:val="24"/>
        </w:rPr>
        <w:t>)</w:t>
      </w:r>
      <w:r w:rsidR="76E33FD1" w:rsidRPr="00431BA7">
        <w:rPr>
          <w:sz w:val="24"/>
          <w:szCs w:val="24"/>
        </w:rPr>
        <w:t>(2</w:t>
      </w:r>
      <w:r w:rsidR="0AB81843" w:rsidRPr="00431BA7">
        <w:rPr>
          <w:sz w:val="24"/>
          <w:szCs w:val="24"/>
        </w:rPr>
        <w:t>)</w:t>
      </w:r>
      <w:r w:rsidR="490B452D" w:rsidRPr="00431BA7">
        <w:rPr>
          <w:sz w:val="24"/>
          <w:szCs w:val="24"/>
        </w:rPr>
        <w:t>)</w:t>
      </w:r>
      <w:r w:rsidR="058EF357" w:rsidRPr="00431BA7">
        <w:rPr>
          <w:sz w:val="24"/>
          <w:szCs w:val="24"/>
        </w:rPr>
        <w:t>.</w:t>
      </w:r>
      <w:r w:rsidR="7FC9FE5C" w:rsidRPr="00431BA7">
        <w:rPr>
          <w:sz w:val="24"/>
          <w:szCs w:val="24"/>
        </w:rPr>
        <w:t xml:space="preserve"> In other words, </w:t>
      </w:r>
      <w:r w:rsidR="0A6A3391" w:rsidRPr="00431BA7">
        <w:rPr>
          <w:sz w:val="24"/>
          <w:szCs w:val="24"/>
        </w:rPr>
        <w:t>persons</w:t>
      </w:r>
      <w:r w:rsidR="7BD53B5B" w:rsidRPr="00431BA7">
        <w:rPr>
          <w:sz w:val="24"/>
          <w:szCs w:val="24"/>
        </w:rPr>
        <w:t xml:space="preserve"> able to affirm non-multinational status</w:t>
      </w:r>
      <w:r w:rsidR="19E744DA" w:rsidRPr="00431BA7">
        <w:rPr>
          <w:sz w:val="24"/>
          <w:szCs w:val="24"/>
        </w:rPr>
        <w:t xml:space="preserve"> </w:t>
      </w:r>
      <w:proofErr w:type="gramStart"/>
      <w:r w:rsidR="19E744DA" w:rsidRPr="00431BA7">
        <w:rPr>
          <w:sz w:val="24"/>
          <w:szCs w:val="24"/>
        </w:rPr>
        <w:t>are able to</w:t>
      </w:r>
      <w:proofErr w:type="gramEnd"/>
      <w:r w:rsidR="19E744DA" w:rsidRPr="00431BA7">
        <w:rPr>
          <w:sz w:val="24"/>
          <w:szCs w:val="24"/>
        </w:rPr>
        <w:t xml:space="preserve"> view complete studies submitted under FIFRA (though their ability to</w:t>
      </w:r>
      <w:r w:rsidR="79C8B8C5" w:rsidRPr="00431BA7">
        <w:rPr>
          <w:sz w:val="24"/>
          <w:szCs w:val="24"/>
        </w:rPr>
        <w:t xml:space="preserve"> further disclose complete studies</w:t>
      </w:r>
      <w:r w:rsidR="1B865C2F" w:rsidRPr="00431BA7">
        <w:rPr>
          <w:sz w:val="24"/>
          <w:szCs w:val="24"/>
        </w:rPr>
        <w:t xml:space="preserve"> is limited), and anyone can be given access to </w:t>
      </w:r>
      <w:r w:rsidR="007122E6" w:rsidRPr="00431BA7">
        <w:rPr>
          <w:sz w:val="24"/>
          <w:szCs w:val="24"/>
        </w:rPr>
        <w:t>non-confidential</w:t>
      </w:r>
      <w:r w:rsidR="319CB197" w:rsidRPr="00431BA7">
        <w:rPr>
          <w:sz w:val="24"/>
          <w:szCs w:val="24"/>
        </w:rPr>
        <w:t xml:space="preserve"> summary information regarding such studies</w:t>
      </w:r>
      <w:r w:rsidR="567CAAE7" w:rsidRPr="00431BA7">
        <w:rPr>
          <w:sz w:val="24"/>
          <w:szCs w:val="24"/>
        </w:rPr>
        <w:t xml:space="preserve">. </w:t>
      </w:r>
      <w:r w:rsidR="16522450" w:rsidRPr="00431BA7">
        <w:rPr>
          <w:sz w:val="24"/>
          <w:szCs w:val="24"/>
        </w:rPr>
        <w:t>EPA’s Office of Pesticide Programs has</w:t>
      </w:r>
      <w:r w:rsidR="021ED755" w:rsidRPr="00431BA7">
        <w:rPr>
          <w:sz w:val="24"/>
          <w:szCs w:val="24"/>
        </w:rPr>
        <w:t xml:space="preserve"> decades of experience creating public summaries of studies that do not</w:t>
      </w:r>
      <w:r w:rsidR="5C6A700F" w:rsidRPr="00431BA7">
        <w:rPr>
          <w:sz w:val="24"/>
          <w:szCs w:val="24"/>
        </w:rPr>
        <w:t xml:space="preserve"> implicate section 10(g).</w:t>
      </w:r>
    </w:p>
    <w:p w14:paraId="51FBB68F" w14:textId="45E187A7" w:rsidR="002456A4" w:rsidRPr="00431BA7" w:rsidRDefault="0013111A" w:rsidP="38541D56">
      <w:pPr>
        <w:rPr>
          <w:sz w:val="24"/>
          <w:szCs w:val="24"/>
        </w:rPr>
      </w:pPr>
      <w:r w:rsidRPr="00431BA7">
        <w:rPr>
          <w:b/>
          <w:bCs/>
          <w:sz w:val="24"/>
          <w:szCs w:val="24"/>
        </w:rPr>
        <w:t>Comment</w:t>
      </w:r>
      <w:r w:rsidRPr="00431BA7">
        <w:rPr>
          <w:sz w:val="24"/>
          <w:szCs w:val="24"/>
        </w:rPr>
        <w:t>:</w:t>
      </w:r>
      <w:r w:rsidR="2B1BADE1" w:rsidRPr="00431BA7">
        <w:rPr>
          <w:sz w:val="24"/>
          <w:szCs w:val="24"/>
        </w:rPr>
        <w:t xml:space="preserve"> </w:t>
      </w:r>
      <w:r w:rsidR="002456A4" w:rsidRPr="00431BA7">
        <w:rPr>
          <w:sz w:val="24"/>
          <w:szCs w:val="24"/>
        </w:rPr>
        <w:t xml:space="preserve">Companies </w:t>
      </w:r>
      <w:r w:rsidR="2B1BADE1" w:rsidRPr="00431BA7">
        <w:rPr>
          <w:sz w:val="24"/>
          <w:szCs w:val="24"/>
        </w:rPr>
        <w:t xml:space="preserve">would </w:t>
      </w:r>
      <w:r w:rsidR="2AB3C36C" w:rsidRPr="00431BA7">
        <w:rPr>
          <w:sz w:val="24"/>
          <w:szCs w:val="24"/>
        </w:rPr>
        <w:t xml:space="preserve">submit studies under FIFRA to circumvent the </w:t>
      </w:r>
      <w:r w:rsidR="57527DAC" w:rsidRPr="00431BA7">
        <w:rPr>
          <w:sz w:val="24"/>
          <w:szCs w:val="24"/>
        </w:rPr>
        <w:t xml:space="preserve">TSCA protections. </w:t>
      </w:r>
    </w:p>
    <w:p w14:paraId="61FBDFDF" w14:textId="539A944B" w:rsidR="005E4553" w:rsidRPr="00431BA7" w:rsidRDefault="005E4553" w:rsidP="005E4553">
      <w:pPr>
        <w:rPr>
          <w:rFonts w:eastAsia="SimSun"/>
          <w:sz w:val="24"/>
          <w:szCs w:val="24"/>
        </w:rPr>
      </w:pPr>
      <w:r w:rsidRPr="00431BA7">
        <w:rPr>
          <w:rFonts w:eastAsia="SimSun"/>
          <w:sz w:val="24"/>
          <w:szCs w:val="24"/>
        </w:rPr>
        <w:t xml:space="preserve">Source: </w:t>
      </w:r>
      <w:r w:rsidRPr="00431BA7">
        <w:rPr>
          <w:rFonts w:cstheme="minorHAnsi"/>
          <w:sz w:val="24"/>
          <w:szCs w:val="24"/>
        </w:rPr>
        <w:t>-0050</w:t>
      </w:r>
    </w:p>
    <w:p w14:paraId="3C7EB5EB" w14:textId="4CB1E956" w:rsidR="00B03544" w:rsidRPr="00431BA7" w:rsidRDefault="00C75067" w:rsidP="38541D56">
      <w:pPr>
        <w:rPr>
          <w:color w:val="00B050"/>
          <w:sz w:val="24"/>
          <w:szCs w:val="24"/>
        </w:rPr>
      </w:pPr>
      <w:r w:rsidRPr="00431BA7">
        <w:rPr>
          <w:b/>
          <w:bCs/>
          <w:sz w:val="24"/>
          <w:szCs w:val="24"/>
        </w:rPr>
        <w:t>Response</w:t>
      </w:r>
      <w:r w:rsidRPr="00431BA7">
        <w:rPr>
          <w:sz w:val="24"/>
          <w:szCs w:val="24"/>
        </w:rPr>
        <w:t xml:space="preserve">: </w:t>
      </w:r>
      <w:r w:rsidR="6F3EAF87" w:rsidRPr="00431BA7">
        <w:rPr>
          <w:sz w:val="24"/>
          <w:szCs w:val="24"/>
        </w:rPr>
        <w:t>EPA considers this possibility extremely unlikely</w:t>
      </w:r>
      <w:r w:rsidR="007A3111" w:rsidRPr="00431BA7">
        <w:rPr>
          <w:sz w:val="24"/>
          <w:szCs w:val="24"/>
        </w:rPr>
        <w:t>. S</w:t>
      </w:r>
      <w:r w:rsidR="08FD5510" w:rsidRPr="00431BA7">
        <w:rPr>
          <w:sz w:val="24"/>
          <w:szCs w:val="24"/>
        </w:rPr>
        <w:t xml:space="preserve">ection </w:t>
      </w:r>
      <w:r w:rsidR="5BAB9913" w:rsidRPr="00431BA7">
        <w:rPr>
          <w:sz w:val="24"/>
          <w:szCs w:val="24"/>
        </w:rPr>
        <w:t xml:space="preserve">10(g) applies to information submitted “under this </w:t>
      </w:r>
      <w:r w:rsidR="66F324C6" w:rsidRPr="00431BA7">
        <w:rPr>
          <w:sz w:val="24"/>
          <w:szCs w:val="24"/>
        </w:rPr>
        <w:t xml:space="preserve">subchapter” </w:t>
      </w:r>
      <w:r w:rsidR="22BECDEF" w:rsidRPr="00431BA7">
        <w:rPr>
          <w:sz w:val="24"/>
          <w:szCs w:val="24"/>
        </w:rPr>
        <w:t>(i.e., FIFRA</w:t>
      </w:r>
      <w:r w:rsidR="3D216A3F" w:rsidRPr="00431BA7">
        <w:rPr>
          <w:sz w:val="24"/>
          <w:szCs w:val="24"/>
        </w:rPr>
        <w:t>)</w:t>
      </w:r>
      <w:r w:rsidR="00AA62AB" w:rsidRPr="00431BA7">
        <w:rPr>
          <w:sz w:val="24"/>
          <w:szCs w:val="24"/>
        </w:rPr>
        <w:t>.</w:t>
      </w:r>
      <w:r w:rsidR="3D216A3F" w:rsidRPr="00431BA7">
        <w:rPr>
          <w:sz w:val="24"/>
          <w:szCs w:val="24"/>
        </w:rPr>
        <w:t xml:space="preserve"> </w:t>
      </w:r>
      <w:r w:rsidR="00F25CFF" w:rsidRPr="00431BA7">
        <w:rPr>
          <w:sz w:val="24"/>
          <w:szCs w:val="24"/>
        </w:rPr>
        <w:t xml:space="preserve"> Data requirement</w:t>
      </w:r>
      <w:r w:rsidR="0045477A" w:rsidRPr="00431BA7">
        <w:rPr>
          <w:sz w:val="24"/>
          <w:szCs w:val="24"/>
        </w:rPr>
        <w:t>s</w:t>
      </w:r>
      <w:r w:rsidR="00F25CFF" w:rsidRPr="00431BA7">
        <w:rPr>
          <w:sz w:val="24"/>
          <w:szCs w:val="24"/>
        </w:rPr>
        <w:t xml:space="preserve"> under FIFRA </w:t>
      </w:r>
      <w:r w:rsidR="001636A8" w:rsidRPr="00431BA7">
        <w:rPr>
          <w:sz w:val="24"/>
          <w:szCs w:val="24"/>
        </w:rPr>
        <w:t>are generally</w:t>
      </w:r>
      <w:r w:rsidR="0048678C" w:rsidRPr="00431BA7">
        <w:rPr>
          <w:sz w:val="24"/>
          <w:szCs w:val="24"/>
        </w:rPr>
        <w:t xml:space="preserve"> </w:t>
      </w:r>
      <w:r w:rsidR="001636A8" w:rsidRPr="00431BA7">
        <w:rPr>
          <w:sz w:val="24"/>
          <w:szCs w:val="24"/>
        </w:rPr>
        <w:t>very specific to</w:t>
      </w:r>
      <w:r w:rsidR="000A407A" w:rsidRPr="00431BA7">
        <w:rPr>
          <w:sz w:val="24"/>
          <w:szCs w:val="24"/>
        </w:rPr>
        <w:t xml:space="preserve"> registered (or applied for</w:t>
      </w:r>
      <w:r w:rsidR="00EF3AA9" w:rsidRPr="00431BA7">
        <w:rPr>
          <w:sz w:val="24"/>
          <w:szCs w:val="24"/>
        </w:rPr>
        <w:t>)</w:t>
      </w:r>
      <w:r w:rsidR="000A407A" w:rsidRPr="00431BA7">
        <w:rPr>
          <w:sz w:val="24"/>
          <w:szCs w:val="24"/>
        </w:rPr>
        <w:t xml:space="preserve"> products</w:t>
      </w:r>
      <w:r w:rsidR="00511CB3" w:rsidRPr="00431BA7">
        <w:rPr>
          <w:sz w:val="24"/>
          <w:szCs w:val="24"/>
        </w:rPr>
        <w:t>. Such data is</w:t>
      </w:r>
      <w:r w:rsidR="0048678C" w:rsidRPr="00431BA7">
        <w:rPr>
          <w:sz w:val="24"/>
          <w:szCs w:val="24"/>
        </w:rPr>
        <w:t xml:space="preserve"> submitted</w:t>
      </w:r>
      <w:r w:rsidR="0091518D" w:rsidRPr="00431BA7">
        <w:rPr>
          <w:sz w:val="24"/>
          <w:szCs w:val="24"/>
        </w:rPr>
        <w:t xml:space="preserve"> at ve</w:t>
      </w:r>
      <w:r w:rsidR="009864F4" w:rsidRPr="00431BA7">
        <w:rPr>
          <w:sz w:val="24"/>
          <w:szCs w:val="24"/>
        </w:rPr>
        <w:t>ry specific points</w:t>
      </w:r>
      <w:r w:rsidR="0045477A" w:rsidRPr="00431BA7">
        <w:rPr>
          <w:sz w:val="24"/>
          <w:szCs w:val="24"/>
        </w:rPr>
        <w:t xml:space="preserve"> in the product’s registration or consideration under </w:t>
      </w:r>
      <w:proofErr w:type="gramStart"/>
      <w:r w:rsidR="0045477A" w:rsidRPr="00431BA7">
        <w:rPr>
          <w:sz w:val="24"/>
          <w:szCs w:val="24"/>
        </w:rPr>
        <w:t>FIFRA</w:t>
      </w:r>
      <w:r w:rsidR="00465D17" w:rsidRPr="00431BA7">
        <w:rPr>
          <w:sz w:val="24"/>
          <w:szCs w:val="24"/>
        </w:rPr>
        <w:t>,</w:t>
      </w:r>
      <w:r w:rsidR="001969E0" w:rsidRPr="00431BA7">
        <w:rPr>
          <w:sz w:val="24"/>
          <w:szCs w:val="24"/>
        </w:rPr>
        <w:t xml:space="preserve"> and</w:t>
      </w:r>
      <w:proofErr w:type="gramEnd"/>
      <w:r w:rsidR="001969E0" w:rsidRPr="00431BA7">
        <w:rPr>
          <w:sz w:val="24"/>
          <w:szCs w:val="24"/>
        </w:rPr>
        <w:t xml:space="preserve"> may</w:t>
      </w:r>
      <w:r w:rsidR="00303128" w:rsidRPr="00431BA7">
        <w:rPr>
          <w:sz w:val="24"/>
          <w:szCs w:val="24"/>
        </w:rPr>
        <w:t xml:space="preserve"> </w:t>
      </w:r>
      <w:r w:rsidR="001969E0" w:rsidRPr="00431BA7">
        <w:rPr>
          <w:sz w:val="24"/>
          <w:szCs w:val="24"/>
        </w:rPr>
        <w:t xml:space="preserve">be time-consuming and </w:t>
      </w:r>
      <w:r w:rsidR="00465D17" w:rsidRPr="00431BA7">
        <w:rPr>
          <w:sz w:val="24"/>
          <w:szCs w:val="24"/>
        </w:rPr>
        <w:t>expensive to produce</w:t>
      </w:r>
      <w:r w:rsidR="1E6F46BE" w:rsidRPr="00431BA7">
        <w:rPr>
          <w:sz w:val="24"/>
          <w:szCs w:val="24"/>
        </w:rPr>
        <w:t>.</w:t>
      </w:r>
      <w:r w:rsidR="007B0DFB" w:rsidRPr="00431BA7">
        <w:rPr>
          <w:sz w:val="24"/>
          <w:szCs w:val="24"/>
        </w:rPr>
        <w:t xml:space="preserve"> Moreover, as discussed above, </w:t>
      </w:r>
      <w:r w:rsidR="005349B9" w:rsidRPr="00431BA7">
        <w:rPr>
          <w:sz w:val="24"/>
          <w:szCs w:val="24"/>
        </w:rPr>
        <w:t xml:space="preserve">the changes made in this final rule </w:t>
      </w:r>
      <w:r w:rsidR="00A201DF" w:rsidRPr="00431BA7">
        <w:rPr>
          <w:sz w:val="24"/>
          <w:szCs w:val="24"/>
        </w:rPr>
        <w:t xml:space="preserve">to clarify the application of the respective confidentiality </w:t>
      </w:r>
      <w:r w:rsidR="00D41ECA" w:rsidRPr="00431BA7">
        <w:rPr>
          <w:sz w:val="24"/>
          <w:szCs w:val="24"/>
        </w:rPr>
        <w:t>provisions will</w:t>
      </w:r>
      <w:r w:rsidR="00D2219A" w:rsidRPr="00431BA7">
        <w:rPr>
          <w:sz w:val="24"/>
          <w:szCs w:val="24"/>
        </w:rPr>
        <w:t xml:space="preserve"> lessen further any incentive to attempt to launder TSCA data by first submittin</w:t>
      </w:r>
      <w:r w:rsidR="00A201DF" w:rsidRPr="00431BA7">
        <w:rPr>
          <w:sz w:val="24"/>
          <w:szCs w:val="24"/>
        </w:rPr>
        <w:t>g it</w:t>
      </w:r>
      <w:r w:rsidR="00D2219A" w:rsidRPr="00431BA7">
        <w:rPr>
          <w:sz w:val="24"/>
          <w:szCs w:val="24"/>
        </w:rPr>
        <w:t xml:space="preserve"> under FIFRA.</w:t>
      </w:r>
    </w:p>
    <w:p w14:paraId="46FFC3CC" w14:textId="4A132A54" w:rsidR="00C757CC" w:rsidRPr="00431BA7" w:rsidRDefault="00E75B17" w:rsidP="005445F4">
      <w:pPr>
        <w:rPr>
          <w:rFonts w:cstheme="minorHAnsi"/>
          <w:sz w:val="24"/>
          <w:szCs w:val="24"/>
        </w:rPr>
      </w:pPr>
      <w:r w:rsidRPr="00431BA7">
        <w:rPr>
          <w:rFonts w:cstheme="minorHAnsi"/>
          <w:b/>
          <w:bCs/>
          <w:sz w:val="24"/>
          <w:szCs w:val="24"/>
        </w:rPr>
        <w:lastRenderedPageBreak/>
        <w:t>Comment</w:t>
      </w:r>
      <w:r w:rsidRPr="00431BA7">
        <w:rPr>
          <w:rFonts w:cstheme="minorHAnsi"/>
          <w:sz w:val="24"/>
          <w:szCs w:val="24"/>
        </w:rPr>
        <w:t>:</w:t>
      </w:r>
      <w:r w:rsidR="005F20F0" w:rsidRPr="00431BA7">
        <w:rPr>
          <w:rFonts w:cstheme="minorHAnsi"/>
          <w:sz w:val="24"/>
          <w:szCs w:val="24"/>
        </w:rPr>
        <w:t xml:space="preserve"> EPA </w:t>
      </w:r>
      <w:r w:rsidRPr="00431BA7">
        <w:rPr>
          <w:rFonts w:cstheme="minorHAnsi"/>
          <w:sz w:val="24"/>
          <w:szCs w:val="24"/>
        </w:rPr>
        <w:t xml:space="preserve">should </w:t>
      </w:r>
      <w:r w:rsidR="005F20F0" w:rsidRPr="00431BA7">
        <w:rPr>
          <w:rFonts w:cstheme="minorHAnsi"/>
          <w:sz w:val="24"/>
          <w:szCs w:val="24"/>
        </w:rPr>
        <w:t>finalize a process for noti</w:t>
      </w:r>
      <w:r w:rsidR="00FA24F1" w:rsidRPr="00431BA7">
        <w:rPr>
          <w:rFonts w:cstheme="minorHAnsi"/>
          <w:sz w:val="24"/>
          <w:szCs w:val="24"/>
        </w:rPr>
        <w:t xml:space="preserve">fying entities </w:t>
      </w:r>
      <w:r w:rsidR="0011623A" w:rsidRPr="00431BA7">
        <w:rPr>
          <w:rFonts w:cstheme="minorHAnsi"/>
          <w:sz w:val="24"/>
          <w:szCs w:val="24"/>
        </w:rPr>
        <w:t xml:space="preserve">that their information was being considered TSCA information and provide an opportunity to </w:t>
      </w:r>
      <w:r w:rsidR="00C124CF" w:rsidRPr="00431BA7">
        <w:rPr>
          <w:rFonts w:cstheme="minorHAnsi"/>
          <w:sz w:val="24"/>
          <w:szCs w:val="24"/>
        </w:rPr>
        <w:t xml:space="preserve">substantiate any claims in accordance with TSCA. </w:t>
      </w:r>
    </w:p>
    <w:p w14:paraId="6EC9BD18" w14:textId="002C453B" w:rsidR="00A17039" w:rsidRPr="00431BA7" w:rsidRDefault="00A17039" w:rsidP="005445F4">
      <w:pPr>
        <w:rPr>
          <w:rFonts w:cstheme="minorHAnsi"/>
          <w:sz w:val="24"/>
          <w:szCs w:val="24"/>
        </w:rPr>
      </w:pPr>
      <w:r w:rsidRPr="00431BA7">
        <w:rPr>
          <w:rFonts w:cstheme="minorHAnsi"/>
          <w:sz w:val="24"/>
          <w:szCs w:val="24"/>
        </w:rPr>
        <w:t>Source: -0052</w:t>
      </w:r>
      <w:r w:rsidR="00AA62AB" w:rsidRPr="00431BA7">
        <w:rPr>
          <w:rFonts w:cstheme="minorHAnsi"/>
          <w:sz w:val="24"/>
          <w:szCs w:val="24"/>
        </w:rPr>
        <w:t>; -0044</w:t>
      </w:r>
    </w:p>
    <w:p w14:paraId="5DFC5E51" w14:textId="609B6C7E" w:rsidR="005445F4" w:rsidRPr="00431BA7" w:rsidRDefault="00053238" w:rsidP="005445F4">
      <w:pPr>
        <w:rPr>
          <w:rFonts w:cstheme="minorHAnsi"/>
          <w:color w:val="00B050"/>
          <w:sz w:val="24"/>
          <w:szCs w:val="24"/>
        </w:rPr>
      </w:pPr>
      <w:r w:rsidRPr="00431BA7">
        <w:rPr>
          <w:rFonts w:cstheme="minorHAnsi"/>
          <w:b/>
          <w:bCs/>
          <w:sz w:val="24"/>
          <w:szCs w:val="24"/>
        </w:rPr>
        <w:t xml:space="preserve">Response:  </w:t>
      </w:r>
      <w:r w:rsidR="001A00AC" w:rsidRPr="00431BA7">
        <w:rPr>
          <w:rFonts w:cstheme="minorHAnsi"/>
          <w:sz w:val="24"/>
          <w:szCs w:val="24"/>
        </w:rPr>
        <w:t>EPA agrees with these commenters that such a process is necessary</w:t>
      </w:r>
      <w:r w:rsidR="00AA62AB" w:rsidRPr="00431BA7">
        <w:rPr>
          <w:rFonts w:cstheme="minorHAnsi"/>
          <w:sz w:val="24"/>
          <w:szCs w:val="24"/>
        </w:rPr>
        <w:t xml:space="preserve"> prior to disclosure of information claimed as CBI</w:t>
      </w:r>
      <w:r w:rsidR="00995261" w:rsidRPr="00431BA7">
        <w:rPr>
          <w:rFonts w:cstheme="minorHAnsi"/>
          <w:sz w:val="24"/>
          <w:szCs w:val="24"/>
        </w:rPr>
        <w:t xml:space="preserve"> (except in the limited circumstances where TSCA section 14(d) or 14(g) specify that no notice is required)</w:t>
      </w:r>
      <w:r w:rsidR="009004B3" w:rsidRPr="00431BA7">
        <w:rPr>
          <w:rFonts w:cstheme="minorHAnsi"/>
          <w:sz w:val="24"/>
          <w:szCs w:val="24"/>
        </w:rPr>
        <w:t xml:space="preserve">, and </w:t>
      </w:r>
      <w:r w:rsidR="00E9246B" w:rsidRPr="00431BA7">
        <w:rPr>
          <w:rFonts w:cstheme="minorHAnsi"/>
          <w:sz w:val="24"/>
          <w:szCs w:val="24"/>
        </w:rPr>
        <w:t xml:space="preserve">notes </w:t>
      </w:r>
      <w:r w:rsidR="009004B3" w:rsidRPr="00431BA7">
        <w:rPr>
          <w:rFonts w:cstheme="minorHAnsi"/>
          <w:sz w:val="24"/>
          <w:szCs w:val="24"/>
        </w:rPr>
        <w:t xml:space="preserve">that such </w:t>
      </w:r>
      <w:r w:rsidR="00995261" w:rsidRPr="00431BA7">
        <w:rPr>
          <w:rFonts w:cstheme="minorHAnsi"/>
          <w:sz w:val="24"/>
          <w:szCs w:val="24"/>
        </w:rPr>
        <w:t xml:space="preserve">a </w:t>
      </w:r>
      <w:r w:rsidR="009004B3" w:rsidRPr="00431BA7">
        <w:rPr>
          <w:rFonts w:cstheme="minorHAnsi"/>
          <w:sz w:val="24"/>
          <w:szCs w:val="24"/>
        </w:rPr>
        <w:t>process already exists in the form of the CBI review process under section 14(f) of TSCA.  As elaborated in the final rule</w:t>
      </w:r>
      <w:r w:rsidR="00995261" w:rsidRPr="00431BA7">
        <w:rPr>
          <w:rFonts w:cstheme="minorHAnsi"/>
          <w:sz w:val="24"/>
          <w:szCs w:val="24"/>
        </w:rPr>
        <w:t xml:space="preserve"> at 40 CFR 703.8</w:t>
      </w:r>
      <w:r w:rsidR="009004B3" w:rsidRPr="00431BA7">
        <w:rPr>
          <w:rFonts w:cstheme="minorHAnsi"/>
          <w:sz w:val="24"/>
          <w:szCs w:val="24"/>
        </w:rPr>
        <w:t xml:space="preserve">, there are several bases for EPA to initiate a CBI review under section 14(f), some of which are mandatory, some discretionary.  In the case of most CBI reviews under section 14(f) (and in all cases in which information was not previously submitted under TSCA or was not previously substantiated), the submitter of the information would be notified of the </w:t>
      </w:r>
      <w:r w:rsidR="00E9246B" w:rsidRPr="00431BA7">
        <w:rPr>
          <w:rFonts w:cstheme="minorHAnsi"/>
          <w:sz w:val="24"/>
          <w:szCs w:val="24"/>
        </w:rPr>
        <w:t>TSCA 14(f) CBI review and provided an opportunity to substantiate their CBI claims.  They would also be provided notice and an opportunity to appeal the denial of any of their claims</w:t>
      </w:r>
      <w:r w:rsidR="00995261" w:rsidRPr="00431BA7">
        <w:rPr>
          <w:rFonts w:cstheme="minorHAnsi"/>
          <w:sz w:val="24"/>
          <w:szCs w:val="24"/>
        </w:rPr>
        <w:t xml:space="preserve"> prior to disclosure</w:t>
      </w:r>
      <w:r w:rsidR="00E9246B" w:rsidRPr="00431BA7">
        <w:rPr>
          <w:rFonts w:cstheme="minorHAnsi"/>
          <w:sz w:val="24"/>
          <w:szCs w:val="24"/>
        </w:rPr>
        <w:t xml:space="preserve">, </w:t>
      </w:r>
      <w:r w:rsidR="00995261" w:rsidRPr="00431BA7">
        <w:rPr>
          <w:rFonts w:cstheme="minorHAnsi"/>
          <w:sz w:val="24"/>
          <w:szCs w:val="24"/>
        </w:rPr>
        <w:t xml:space="preserve">consistent with </w:t>
      </w:r>
      <w:r w:rsidR="00E9246B" w:rsidRPr="00431BA7">
        <w:rPr>
          <w:rFonts w:cstheme="minorHAnsi"/>
          <w:sz w:val="24"/>
          <w:szCs w:val="24"/>
        </w:rPr>
        <w:t>section 14(g).</w:t>
      </w:r>
    </w:p>
    <w:p w14:paraId="1A7982FA" w14:textId="76965284" w:rsidR="000140FB" w:rsidRPr="00431BA7" w:rsidRDefault="002D43A4" w:rsidP="00485006">
      <w:pPr>
        <w:pStyle w:val="Heading2"/>
        <w:numPr>
          <w:ilvl w:val="0"/>
          <w:numId w:val="0"/>
        </w:numPr>
        <w:ind w:left="360" w:hanging="360"/>
      </w:pPr>
      <w:bookmarkStart w:id="6" w:name="_Toc132901182"/>
      <w:r w:rsidRPr="00431BA7">
        <w:t xml:space="preserve">Unit </w:t>
      </w:r>
      <w:r w:rsidR="00E47D5E" w:rsidRPr="00431BA7">
        <w:t>4</w:t>
      </w:r>
      <w:r w:rsidRPr="00431BA7">
        <w:t>: Health and safety study (</w:t>
      </w:r>
      <w:r w:rsidR="00B6654E" w:rsidRPr="00431BA7">
        <w:t xml:space="preserve">40 CFR </w:t>
      </w:r>
      <w:r w:rsidRPr="00431BA7">
        <w:t>703.3; definitions)</w:t>
      </w:r>
      <w:bookmarkEnd w:id="6"/>
    </w:p>
    <w:p w14:paraId="115B0EB0" w14:textId="0AA846C4" w:rsidR="009C6833" w:rsidRPr="00431BA7" w:rsidRDefault="009C6833" w:rsidP="009C6833">
      <w:pPr>
        <w:rPr>
          <w:sz w:val="24"/>
          <w:szCs w:val="24"/>
        </w:rPr>
      </w:pPr>
      <w:bookmarkStart w:id="7" w:name="_Hlk121417600"/>
      <w:r w:rsidRPr="00431BA7">
        <w:rPr>
          <w:b/>
          <w:bCs/>
          <w:sz w:val="24"/>
          <w:szCs w:val="24"/>
        </w:rPr>
        <w:t>Comment</w:t>
      </w:r>
      <w:r w:rsidRPr="00431BA7">
        <w:rPr>
          <w:sz w:val="24"/>
          <w:szCs w:val="24"/>
        </w:rPr>
        <w:t xml:space="preserve">:  Several </w:t>
      </w:r>
      <w:r w:rsidR="006D159D" w:rsidRPr="00431BA7">
        <w:rPr>
          <w:sz w:val="24"/>
          <w:szCs w:val="24"/>
        </w:rPr>
        <w:t>comment</w:t>
      </w:r>
      <w:r w:rsidR="006A1161" w:rsidRPr="00431BA7">
        <w:rPr>
          <w:sz w:val="24"/>
          <w:szCs w:val="24"/>
        </w:rPr>
        <w:t>er</w:t>
      </w:r>
      <w:r w:rsidR="006D159D" w:rsidRPr="00431BA7">
        <w:rPr>
          <w:sz w:val="24"/>
          <w:szCs w:val="24"/>
        </w:rPr>
        <w:t>s were in</w:t>
      </w:r>
      <w:r w:rsidRPr="00431BA7">
        <w:rPr>
          <w:sz w:val="24"/>
          <w:szCs w:val="24"/>
        </w:rPr>
        <w:t xml:space="preserve"> favor of the proposed exclusions from the definition of “health and safety study” at 40 CFR 703.3</w:t>
      </w:r>
      <w:r w:rsidR="000445B8" w:rsidRPr="00431BA7">
        <w:rPr>
          <w:sz w:val="24"/>
          <w:szCs w:val="24"/>
        </w:rPr>
        <w:t>, in several cases suggesting more exclusions</w:t>
      </w:r>
      <w:r w:rsidR="006B61A0" w:rsidRPr="00431BA7">
        <w:rPr>
          <w:sz w:val="24"/>
          <w:szCs w:val="24"/>
        </w:rPr>
        <w:t xml:space="preserve"> that would permit, among other things, greater protection of the value of the intellectual property in the studies</w:t>
      </w:r>
      <w:r w:rsidRPr="00431BA7">
        <w:rPr>
          <w:sz w:val="24"/>
          <w:szCs w:val="24"/>
        </w:rPr>
        <w:t xml:space="preserve">.  </w:t>
      </w:r>
      <w:r w:rsidR="00E00B94" w:rsidRPr="00431BA7">
        <w:rPr>
          <w:sz w:val="24"/>
          <w:szCs w:val="24"/>
        </w:rPr>
        <w:t>Some</w:t>
      </w:r>
      <w:r w:rsidR="7AC01315" w:rsidRPr="00431BA7">
        <w:rPr>
          <w:sz w:val="24"/>
          <w:szCs w:val="24"/>
        </w:rPr>
        <w:t xml:space="preserve"> commenters opposed any such exclusions</w:t>
      </w:r>
      <w:r w:rsidR="1D5BB003" w:rsidRPr="00431BA7">
        <w:rPr>
          <w:sz w:val="24"/>
          <w:szCs w:val="24"/>
        </w:rPr>
        <w:t xml:space="preserve">, arguing that the information categories proposed to be excluded are </w:t>
      </w:r>
      <w:r w:rsidR="005D1663" w:rsidRPr="00431BA7">
        <w:rPr>
          <w:sz w:val="24"/>
          <w:szCs w:val="24"/>
        </w:rPr>
        <w:t xml:space="preserve">inconsistent with TSCA, </w:t>
      </w:r>
      <w:r w:rsidR="00664C17" w:rsidRPr="00431BA7">
        <w:rPr>
          <w:sz w:val="24"/>
          <w:szCs w:val="24"/>
        </w:rPr>
        <w:t xml:space="preserve">and are in fact </w:t>
      </w:r>
      <w:r w:rsidR="1D5BB003" w:rsidRPr="00431BA7">
        <w:rPr>
          <w:sz w:val="24"/>
          <w:szCs w:val="24"/>
        </w:rPr>
        <w:t>information underlying and relevant to the studies</w:t>
      </w:r>
      <w:r w:rsidR="7AC01315" w:rsidRPr="00431BA7">
        <w:rPr>
          <w:sz w:val="24"/>
          <w:szCs w:val="24"/>
        </w:rPr>
        <w:t>.</w:t>
      </w:r>
      <w:r w:rsidR="00B412E6" w:rsidRPr="00431BA7">
        <w:rPr>
          <w:sz w:val="24"/>
          <w:szCs w:val="24"/>
        </w:rPr>
        <w:t xml:space="preserve"> See specific </w:t>
      </w:r>
      <w:r w:rsidR="00FF48DE" w:rsidRPr="00431BA7">
        <w:rPr>
          <w:sz w:val="24"/>
          <w:szCs w:val="24"/>
        </w:rPr>
        <w:t>comments following this general response.</w:t>
      </w:r>
    </w:p>
    <w:p w14:paraId="51E8E036" w14:textId="30EFFAC9" w:rsidR="00047F7A" w:rsidRPr="00431BA7" w:rsidRDefault="00047F7A" w:rsidP="009C6833">
      <w:pPr>
        <w:rPr>
          <w:sz w:val="24"/>
          <w:szCs w:val="24"/>
        </w:rPr>
      </w:pPr>
      <w:r w:rsidRPr="00431BA7">
        <w:rPr>
          <w:sz w:val="24"/>
          <w:szCs w:val="24"/>
        </w:rPr>
        <w:t xml:space="preserve">Source: </w:t>
      </w:r>
      <w:r w:rsidR="00342957" w:rsidRPr="00431BA7">
        <w:rPr>
          <w:sz w:val="24"/>
          <w:szCs w:val="24"/>
        </w:rPr>
        <w:t>-</w:t>
      </w:r>
      <w:r w:rsidRPr="00431BA7">
        <w:rPr>
          <w:sz w:val="24"/>
          <w:szCs w:val="24"/>
        </w:rPr>
        <w:t xml:space="preserve">0051; </w:t>
      </w:r>
      <w:r w:rsidR="00342957" w:rsidRPr="00431BA7">
        <w:rPr>
          <w:sz w:val="24"/>
          <w:szCs w:val="24"/>
        </w:rPr>
        <w:t>-</w:t>
      </w:r>
      <w:r w:rsidRPr="00431BA7">
        <w:rPr>
          <w:sz w:val="24"/>
          <w:szCs w:val="24"/>
        </w:rPr>
        <w:t xml:space="preserve">0050; </w:t>
      </w:r>
      <w:r w:rsidR="00342957" w:rsidRPr="00431BA7">
        <w:rPr>
          <w:sz w:val="24"/>
          <w:szCs w:val="24"/>
        </w:rPr>
        <w:t>-</w:t>
      </w:r>
      <w:r w:rsidRPr="00431BA7">
        <w:rPr>
          <w:sz w:val="24"/>
          <w:szCs w:val="24"/>
        </w:rPr>
        <w:t xml:space="preserve">0049; </w:t>
      </w:r>
      <w:r w:rsidR="00342957" w:rsidRPr="00431BA7">
        <w:rPr>
          <w:sz w:val="24"/>
          <w:szCs w:val="24"/>
        </w:rPr>
        <w:t>-</w:t>
      </w:r>
      <w:r w:rsidRPr="00431BA7">
        <w:rPr>
          <w:sz w:val="24"/>
          <w:szCs w:val="24"/>
        </w:rPr>
        <w:t xml:space="preserve">0044; </w:t>
      </w:r>
      <w:r w:rsidR="00342957" w:rsidRPr="00431BA7">
        <w:rPr>
          <w:sz w:val="24"/>
          <w:szCs w:val="24"/>
        </w:rPr>
        <w:t>-</w:t>
      </w:r>
      <w:r w:rsidRPr="00431BA7">
        <w:rPr>
          <w:sz w:val="24"/>
          <w:szCs w:val="24"/>
        </w:rPr>
        <w:t>0043</w:t>
      </w:r>
      <w:r w:rsidR="00607C87" w:rsidRPr="00431BA7">
        <w:rPr>
          <w:sz w:val="24"/>
          <w:szCs w:val="24"/>
        </w:rPr>
        <w:t xml:space="preserve">; </w:t>
      </w:r>
      <w:r w:rsidR="00342957" w:rsidRPr="00431BA7">
        <w:rPr>
          <w:sz w:val="24"/>
          <w:szCs w:val="24"/>
        </w:rPr>
        <w:t>-</w:t>
      </w:r>
      <w:r w:rsidR="00607C87" w:rsidRPr="00431BA7">
        <w:rPr>
          <w:sz w:val="24"/>
          <w:szCs w:val="24"/>
        </w:rPr>
        <w:t>0053</w:t>
      </w:r>
      <w:r w:rsidRPr="00431BA7">
        <w:rPr>
          <w:sz w:val="24"/>
          <w:szCs w:val="24"/>
        </w:rPr>
        <w:t xml:space="preserve">  </w:t>
      </w:r>
    </w:p>
    <w:p w14:paraId="65951BA9" w14:textId="474DDFE1" w:rsidR="00012712" w:rsidRPr="00431BA7" w:rsidRDefault="00060C02" w:rsidP="1DC3E590">
      <w:pPr>
        <w:rPr>
          <w:sz w:val="24"/>
          <w:szCs w:val="24"/>
        </w:rPr>
      </w:pPr>
      <w:r w:rsidRPr="00431BA7">
        <w:rPr>
          <w:b/>
          <w:bCs/>
          <w:sz w:val="24"/>
          <w:szCs w:val="24"/>
        </w:rPr>
        <w:t>Response</w:t>
      </w:r>
      <w:r w:rsidR="008F64D9" w:rsidRPr="00431BA7">
        <w:rPr>
          <w:b/>
          <w:bCs/>
          <w:sz w:val="24"/>
          <w:szCs w:val="24"/>
        </w:rPr>
        <w:t>:</w:t>
      </w:r>
      <w:r w:rsidR="008F64D9" w:rsidRPr="00431BA7">
        <w:rPr>
          <w:b/>
          <w:bCs/>
          <w:i/>
          <w:iCs/>
          <w:sz w:val="24"/>
          <w:szCs w:val="24"/>
        </w:rPr>
        <w:t xml:space="preserve"> </w:t>
      </w:r>
      <w:r w:rsidR="008F64D9" w:rsidRPr="00431BA7">
        <w:rPr>
          <w:b/>
          <w:bCs/>
          <w:sz w:val="24"/>
          <w:szCs w:val="24"/>
        </w:rPr>
        <w:t xml:space="preserve"> </w:t>
      </w:r>
      <w:r w:rsidR="00F20AFC" w:rsidRPr="00431BA7">
        <w:rPr>
          <w:sz w:val="24"/>
          <w:szCs w:val="24"/>
        </w:rPr>
        <w:t xml:space="preserve">EPA disagrees with commenters that </w:t>
      </w:r>
      <w:r w:rsidR="00012712" w:rsidRPr="00431BA7">
        <w:rPr>
          <w:sz w:val="24"/>
          <w:szCs w:val="24"/>
        </w:rPr>
        <w:t>the exclusions are inconsistent with TSCA</w:t>
      </w:r>
      <w:r w:rsidR="005255EF" w:rsidRPr="00431BA7">
        <w:rPr>
          <w:sz w:val="24"/>
          <w:szCs w:val="24"/>
        </w:rPr>
        <w:t xml:space="preserve"> (</w:t>
      </w:r>
      <w:r w:rsidR="00E3110E" w:rsidRPr="00431BA7">
        <w:rPr>
          <w:sz w:val="24"/>
          <w:szCs w:val="24"/>
        </w:rPr>
        <w:t xml:space="preserve">see discussion </w:t>
      </w:r>
      <w:r w:rsidR="00FD53C1" w:rsidRPr="00431BA7">
        <w:rPr>
          <w:sz w:val="24"/>
          <w:szCs w:val="24"/>
        </w:rPr>
        <w:t xml:space="preserve">of specific exclusions </w:t>
      </w:r>
      <w:r w:rsidR="00E3110E" w:rsidRPr="00431BA7">
        <w:rPr>
          <w:sz w:val="24"/>
          <w:szCs w:val="24"/>
        </w:rPr>
        <w:t>below</w:t>
      </w:r>
      <w:r w:rsidR="00FD53C1" w:rsidRPr="00431BA7">
        <w:rPr>
          <w:sz w:val="24"/>
          <w:szCs w:val="24"/>
        </w:rPr>
        <w:t xml:space="preserve"> </w:t>
      </w:r>
      <w:r w:rsidR="00EC04CF" w:rsidRPr="00431BA7">
        <w:rPr>
          <w:sz w:val="24"/>
          <w:szCs w:val="24"/>
        </w:rPr>
        <w:t xml:space="preserve">and elsewhere </w:t>
      </w:r>
      <w:r w:rsidR="00FD53C1" w:rsidRPr="00431BA7">
        <w:rPr>
          <w:sz w:val="24"/>
          <w:szCs w:val="24"/>
        </w:rPr>
        <w:t>in this Unit</w:t>
      </w:r>
      <w:r w:rsidR="00E3110E" w:rsidRPr="00431BA7">
        <w:rPr>
          <w:sz w:val="24"/>
          <w:szCs w:val="24"/>
        </w:rPr>
        <w:t>)</w:t>
      </w:r>
      <w:r w:rsidR="00012712" w:rsidRPr="00431BA7">
        <w:rPr>
          <w:sz w:val="24"/>
          <w:szCs w:val="24"/>
        </w:rPr>
        <w:t xml:space="preserve">. </w:t>
      </w:r>
      <w:r w:rsidR="006D0126" w:rsidRPr="00431BA7">
        <w:rPr>
          <w:sz w:val="24"/>
          <w:szCs w:val="24"/>
        </w:rPr>
        <w:t xml:space="preserve">As explained in the preamble to </w:t>
      </w:r>
      <w:r w:rsidR="008012D0" w:rsidRPr="00431BA7">
        <w:rPr>
          <w:sz w:val="24"/>
          <w:szCs w:val="24"/>
        </w:rPr>
        <w:t xml:space="preserve">the </w:t>
      </w:r>
      <w:r w:rsidR="006D0126" w:rsidRPr="00431BA7">
        <w:rPr>
          <w:sz w:val="24"/>
          <w:szCs w:val="24"/>
        </w:rPr>
        <w:t xml:space="preserve">proposed rule, EPA believes these exclusions are consistent with the definition of health and safety study under </w:t>
      </w:r>
      <w:r w:rsidR="00421297" w:rsidRPr="00431BA7">
        <w:rPr>
          <w:sz w:val="24"/>
          <w:szCs w:val="24"/>
        </w:rPr>
        <w:t xml:space="preserve">TSCA </w:t>
      </w:r>
      <w:r w:rsidR="006D0126" w:rsidRPr="00431BA7">
        <w:rPr>
          <w:sz w:val="24"/>
          <w:szCs w:val="24"/>
        </w:rPr>
        <w:t xml:space="preserve">section </w:t>
      </w:r>
      <w:r w:rsidR="006C4BE3" w:rsidRPr="00431BA7">
        <w:rPr>
          <w:sz w:val="24"/>
          <w:szCs w:val="24"/>
        </w:rPr>
        <w:t xml:space="preserve">3(b) and section 14(b)(2). </w:t>
      </w:r>
    </w:p>
    <w:p w14:paraId="01B10BE8" w14:textId="4CEA79E3" w:rsidR="00861CA4" w:rsidRPr="00431BA7" w:rsidRDefault="00F92539" w:rsidP="1DC3E590">
      <w:pPr>
        <w:rPr>
          <w:sz w:val="24"/>
          <w:szCs w:val="24"/>
        </w:rPr>
      </w:pPr>
      <w:r w:rsidRPr="00431BA7">
        <w:rPr>
          <w:sz w:val="24"/>
          <w:szCs w:val="24"/>
        </w:rPr>
        <w:t>M</w:t>
      </w:r>
      <w:r w:rsidR="000445B8" w:rsidRPr="00431BA7">
        <w:rPr>
          <w:sz w:val="24"/>
          <w:szCs w:val="24"/>
        </w:rPr>
        <w:t>ost of the proposed exclusions have long been part of the existing TSCA rules</w:t>
      </w:r>
      <w:r w:rsidR="00D334C5" w:rsidRPr="00431BA7">
        <w:rPr>
          <w:sz w:val="24"/>
          <w:szCs w:val="24"/>
        </w:rPr>
        <w:t xml:space="preserve"> in one form or other</w:t>
      </w:r>
      <w:r w:rsidR="000445B8" w:rsidRPr="00431BA7">
        <w:rPr>
          <w:sz w:val="24"/>
          <w:szCs w:val="24"/>
        </w:rPr>
        <w:t xml:space="preserve">, such as in </w:t>
      </w:r>
      <w:r w:rsidR="00421297" w:rsidRPr="00431BA7">
        <w:rPr>
          <w:sz w:val="24"/>
          <w:szCs w:val="24"/>
        </w:rPr>
        <w:t xml:space="preserve">40 CFR </w:t>
      </w:r>
      <w:r w:rsidR="0073522B" w:rsidRPr="00431BA7">
        <w:rPr>
          <w:sz w:val="24"/>
          <w:szCs w:val="24"/>
        </w:rPr>
        <w:t xml:space="preserve">parts </w:t>
      </w:r>
      <w:r w:rsidR="000445B8" w:rsidRPr="00431BA7">
        <w:rPr>
          <w:sz w:val="24"/>
          <w:szCs w:val="24"/>
        </w:rPr>
        <w:t xml:space="preserve">720 and 716, so the final rule will in most respects maintain the status quo. </w:t>
      </w:r>
      <w:r w:rsidR="002C5ED3" w:rsidRPr="00431BA7">
        <w:rPr>
          <w:sz w:val="24"/>
          <w:szCs w:val="24"/>
        </w:rPr>
        <w:t xml:space="preserve">These existing carveouts have permitted companies to redact information that is arguably valuable to them while also not impacting the ability of the public to access and interpret the study document. </w:t>
      </w:r>
      <w:r w:rsidR="00E40443" w:rsidRPr="00431BA7">
        <w:rPr>
          <w:sz w:val="24"/>
          <w:szCs w:val="24"/>
        </w:rPr>
        <w:t>Notably,</w:t>
      </w:r>
      <w:r w:rsidR="001B142E" w:rsidRPr="00431BA7">
        <w:rPr>
          <w:sz w:val="24"/>
          <w:szCs w:val="24"/>
        </w:rPr>
        <w:t xml:space="preserve"> the current exclusions </w:t>
      </w:r>
      <w:r w:rsidR="00E40443" w:rsidRPr="00431BA7">
        <w:rPr>
          <w:sz w:val="24"/>
          <w:szCs w:val="24"/>
        </w:rPr>
        <w:t xml:space="preserve">will </w:t>
      </w:r>
      <w:r w:rsidR="001B142E" w:rsidRPr="00431BA7">
        <w:rPr>
          <w:sz w:val="24"/>
          <w:szCs w:val="24"/>
        </w:rPr>
        <w:t xml:space="preserve">vary from </w:t>
      </w:r>
      <w:r w:rsidR="00951EB9" w:rsidRPr="00431BA7">
        <w:rPr>
          <w:sz w:val="24"/>
          <w:szCs w:val="24"/>
        </w:rPr>
        <w:t xml:space="preserve">some </w:t>
      </w:r>
      <w:r w:rsidR="001B142E" w:rsidRPr="00431BA7">
        <w:rPr>
          <w:sz w:val="24"/>
          <w:szCs w:val="24"/>
        </w:rPr>
        <w:t xml:space="preserve">existing TSCA rules </w:t>
      </w:r>
      <w:r w:rsidR="00E40443" w:rsidRPr="00431BA7">
        <w:rPr>
          <w:sz w:val="24"/>
          <w:szCs w:val="24"/>
        </w:rPr>
        <w:t>by</w:t>
      </w:r>
      <w:r w:rsidR="001D7F51" w:rsidRPr="00431BA7">
        <w:rPr>
          <w:sz w:val="24"/>
          <w:szCs w:val="24"/>
        </w:rPr>
        <w:t xml:space="preserve"> </w:t>
      </w:r>
      <w:r w:rsidR="00BC5734" w:rsidRPr="00431BA7">
        <w:rPr>
          <w:sz w:val="24"/>
          <w:szCs w:val="24"/>
        </w:rPr>
        <w:t xml:space="preserve">relying on an exclusive list rather than </w:t>
      </w:r>
      <w:r w:rsidR="001D7F51" w:rsidRPr="00431BA7">
        <w:rPr>
          <w:sz w:val="24"/>
          <w:szCs w:val="24"/>
        </w:rPr>
        <w:t>an open-ended exclusion</w:t>
      </w:r>
      <w:r w:rsidR="0019166B" w:rsidRPr="00431BA7">
        <w:rPr>
          <w:sz w:val="24"/>
          <w:szCs w:val="24"/>
        </w:rPr>
        <w:t xml:space="preserve"> </w:t>
      </w:r>
      <w:r w:rsidR="00616A47" w:rsidRPr="00431BA7">
        <w:rPr>
          <w:sz w:val="24"/>
          <w:szCs w:val="24"/>
        </w:rPr>
        <w:t>like in</w:t>
      </w:r>
      <w:r w:rsidR="0019166B" w:rsidRPr="00431BA7">
        <w:rPr>
          <w:sz w:val="24"/>
          <w:szCs w:val="24"/>
        </w:rPr>
        <w:t xml:space="preserve"> 40 CFR </w:t>
      </w:r>
      <w:r w:rsidR="00616A47" w:rsidRPr="00431BA7">
        <w:rPr>
          <w:sz w:val="24"/>
          <w:szCs w:val="24"/>
        </w:rPr>
        <w:t xml:space="preserve">720.90(a)(3) </w:t>
      </w:r>
      <w:r w:rsidR="0019166B" w:rsidRPr="00431BA7">
        <w:rPr>
          <w:sz w:val="24"/>
          <w:szCs w:val="24"/>
        </w:rPr>
        <w:t>(“</w:t>
      </w:r>
      <w:r w:rsidR="00A658AB" w:rsidRPr="00431BA7">
        <w:rPr>
          <w:sz w:val="24"/>
          <w:szCs w:val="24"/>
        </w:rPr>
        <w:t>Information which is not in any way related to the effects of a substance on human health or the environment</w:t>
      </w:r>
      <w:r w:rsidR="00951EB9" w:rsidRPr="00431BA7">
        <w:rPr>
          <w:sz w:val="24"/>
          <w:szCs w:val="24"/>
        </w:rPr>
        <w:t>”</w:t>
      </w:r>
      <w:r w:rsidR="00616A47" w:rsidRPr="00431BA7">
        <w:rPr>
          <w:sz w:val="24"/>
          <w:szCs w:val="24"/>
        </w:rPr>
        <w:t>).</w:t>
      </w:r>
    </w:p>
    <w:p w14:paraId="1550AE35" w14:textId="2538AACD" w:rsidR="007970AC" w:rsidRPr="00431BA7" w:rsidRDefault="002B66AD" w:rsidP="1DC3E590">
      <w:pPr>
        <w:rPr>
          <w:b/>
          <w:bCs/>
          <w:color w:val="00B050"/>
          <w:sz w:val="24"/>
          <w:szCs w:val="24"/>
        </w:rPr>
      </w:pPr>
      <w:r w:rsidRPr="00431BA7">
        <w:rPr>
          <w:sz w:val="24"/>
          <w:szCs w:val="24"/>
        </w:rPr>
        <w:lastRenderedPageBreak/>
        <w:t xml:space="preserve">EPA also </w:t>
      </w:r>
      <w:r w:rsidR="00EE035B" w:rsidRPr="00431BA7">
        <w:rPr>
          <w:sz w:val="24"/>
          <w:szCs w:val="24"/>
        </w:rPr>
        <w:t>considered</w:t>
      </w:r>
      <w:r w:rsidRPr="00431BA7">
        <w:rPr>
          <w:sz w:val="24"/>
          <w:szCs w:val="24"/>
        </w:rPr>
        <w:t xml:space="preserve"> section 14(b)(1) of TSCA in developing the </w:t>
      </w:r>
      <w:r w:rsidR="00D5648B" w:rsidRPr="00431BA7">
        <w:rPr>
          <w:sz w:val="24"/>
          <w:szCs w:val="24"/>
        </w:rPr>
        <w:t xml:space="preserve">final </w:t>
      </w:r>
      <w:r w:rsidRPr="00431BA7">
        <w:rPr>
          <w:sz w:val="24"/>
          <w:szCs w:val="24"/>
        </w:rPr>
        <w:t xml:space="preserve">list, considering that the excluded types of information may be protected from disclosure under section 14 although included in a document that also contains information that is not protected from disclosure. </w:t>
      </w:r>
      <w:r w:rsidR="00540298" w:rsidRPr="00431BA7">
        <w:rPr>
          <w:sz w:val="24"/>
          <w:szCs w:val="24"/>
        </w:rPr>
        <w:t>Prior to the TSCA amendments, which included the addition of section 14(b)(1), information entitled to confidential treatment contained within the same document as information not entitled to confidential treatment was already protected from disclosure, so that section 14(b)(1) would appear to be a provision without effect. One way to give the provision meaning and effect would be to interpret it, in the case of health and safety studies, to indicate that the definition of health and safety study in section 3(8) does not necessarily include all information contained within a study report, such that other information, like the names of lab personnel, do not constitute information from a health and safety study, but rather (potentially) confidential information that is mixed with the information that is not confidential under section 14(b)(2). In other words, section 14(b)(1) clarifies that protection is still warranted for information in health and safety studies that is not explicitly identified as protected from disclosure in section 14(b)(2)</w:t>
      </w:r>
      <w:r w:rsidR="00C94527" w:rsidRPr="00431BA7">
        <w:rPr>
          <w:sz w:val="24"/>
          <w:szCs w:val="24"/>
        </w:rPr>
        <w:t xml:space="preserve">.  EPA also notes </w:t>
      </w:r>
      <w:r w:rsidR="00486B81">
        <w:rPr>
          <w:sz w:val="24"/>
          <w:szCs w:val="24"/>
        </w:rPr>
        <w:t xml:space="preserve">that </w:t>
      </w:r>
      <w:r w:rsidR="00C94527" w:rsidRPr="00431BA7">
        <w:rPr>
          <w:sz w:val="24"/>
          <w:szCs w:val="24"/>
        </w:rPr>
        <w:t>s</w:t>
      </w:r>
      <w:r w:rsidR="007970AC" w:rsidRPr="00431BA7">
        <w:rPr>
          <w:sz w:val="24"/>
          <w:szCs w:val="24"/>
        </w:rPr>
        <w:t xml:space="preserve">tudy reports can </w:t>
      </w:r>
      <w:r w:rsidR="0094639F" w:rsidRPr="00431BA7">
        <w:rPr>
          <w:sz w:val="24"/>
          <w:szCs w:val="24"/>
        </w:rPr>
        <w:t>be</w:t>
      </w:r>
      <w:r w:rsidR="007970AC" w:rsidRPr="00431BA7">
        <w:rPr>
          <w:sz w:val="24"/>
          <w:szCs w:val="24"/>
        </w:rPr>
        <w:t xml:space="preserve"> and often are provided in </w:t>
      </w:r>
      <w:proofErr w:type="gramStart"/>
      <w:r w:rsidR="007970AC" w:rsidRPr="00431BA7">
        <w:rPr>
          <w:sz w:val="24"/>
          <w:szCs w:val="24"/>
        </w:rPr>
        <w:t>a number of</w:t>
      </w:r>
      <w:proofErr w:type="gramEnd"/>
      <w:r w:rsidR="007970AC" w:rsidRPr="00431BA7">
        <w:rPr>
          <w:sz w:val="24"/>
          <w:szCs w:val="24"/>
        </w:rPr>
        <w:t xml:space="preserve"> formats, with variable detail, and with varying levels and types of information that might </w:t>
      </w:r>
      <w:r w:rsidR="00B529BB" w:rsidRPr="00431BA7">
        <w:rPr>
          <w:sz w:val="24"/>
          <w:szCs w:val="24"/>
        </w:rPr>
        <w:t xml:space="preserve">be </w:t>
      </w:r>
      <w:r w:rsidR="007970AC" w:rsidRPr="00431BA7">
        <w:rPr>
          <w:sz w:val="24"/>
          <w:szCs w:val="24"/>
        </w:rPr>
        <w:t xml:space="preserve">considered ancillary to the study report. </w:t>
      </w:r>
    </w:p>
    <w:p w14:paraId="78FB62E3" w14:textId="7D70B469" w:rsidR="00B47AE6" w:rsidRPr="00431BA7" w:rsidRDefault="000445B8" w:rsidP="009C6833">
      <w:pPr>
        <w:rPr>
          <w:sz w:val="24"/>
          <w:szCs w:val="24"/>
        </w:rPr>
      </w:pPr>
      <w:r w:rsidRPr="00431BA7">
        <w:rPr>
          <w:sz w:val="24"/>
          <w:szCs w:val="24"/>
        </w:rPr>
        <w:t xml:space="preserve">EPA is declining to add additional exclusions, as many of the suggestions made were either redundant with the proposed list (e.g., laboratory address is redundant with the name of the laboratory), or </w:t>
      </w:r>
      <w:r w:rsidR="00FD53C1" w:rsidRPr="00431BA7">
        <w:rPr>
          <w:sz w:val="24"/>
          <w:szCs w:val="24"/>
        </w:rPr>
        <w:t>do not constitute information that EPA can categorically determine as unnecessary to interpret the study</w:t>
      </w:r>
      <w:r w:rsidR="00486B81">
        <w:rPr>
          <w:sz w:val="24"/>
          <w:szCs w:val="24"/>
        </w:rPr>
        <w:t xml:space="preserve"> </w:t>
      </w:r>
      <w:r w:rsidR="00486B81" w:rsidRPr="1DC3E590">
        <w:rPr>
          <w:sz w:val="24"/>
          <w:szCs w:val="24"/>
        </w:rPr>
        <w:t>(e.g., raw data, specific chemical identity)</w:t>
      </w:r>
      <w:r w:rsidR="00FD53C1" w:rsidRPr="00431BA7">
        <w:rPr>
          <w:sz w:val="24"/>
          <w:szCs w:val="24"/>
        </w:rPr>
        <w:t>, and therefore cannot be categorically excluded from the definition of a health and safety study under TSCA section 3(8)</w:t>
      </w:r>
      <w:r w:rsidR="00602578" w:rsidRPr="00431BA7">
        <w:rPr>
          <w:sz w:val="24"/>
          <w:szCs w:val="24"/>
        </w:rPr>
        <w:t>.</w:t>
      </w:r>
      <w:r w:rsidR="006D3450" w:rsidRPr="00431BA7">
        <w:rPr>
          <w:sz w:val="24"/>
          <w:szCs w:val="24"/>
        </w:rPr>
        <w:t xml:space="preserve">  </w:t>
      </w:r>
    </w:p>
    <w:p w14:paraId="143FE506" w14:textId="69A000E6" w:rsidR="009C6833" w:rsidRPr="00431BA7" w:rsidRDefault="006D3450" w:rsidP="00485006">
      <w:pPr>
        <w:rPr>
          <w:sz w:val="24"/>
          <w:szCs w:val="24"/>
        </w:rPr>
      </w:pPr>
      <w:r w:rsidRPr="00431BA7">
        <w:rPr>
          <w:sz w:val="24"/>
          <w:szCs w:val="24"/>
        </w:rPr>
        <w:t>Instead, the final rule is modified from the proposal somewhat to combine similar exclusions and clarify the intended scope of the exclusion.  The exclusion for name of the submitting company</w:t>
      </w:r>
      <w:r w:rsidR="00C71129" w:rsidRPr="00431BA7">
        <w:rPr>
          <w:sz w:val="24"/>
          <w:szCs w:val="24"/>
        </w:rPr>
        <w:t xml:space="preserve"> (long included in 40 CFR parts 716 and 720)</w:t>
      </w:r>
      <w:r w:rsidRPr="00431BA7">
        <w:rPr>
          <w:sz w:val="24"/>
          <w:szCs w:val="24"/>
        </w:rPr>
        <w:t xml:space="preserve"> is combined with the exclusion for name of laboratory—this exclusion is intended to permit confidentiality claims for submitting company identity and other information that would disclose company identity, such as addresses and laboratory name in the case that the laboratory that conducted the study was part of</w:t>
      </w:r>
      <w:r w:rsidR="00C71129" w:rsidRPr="00431BA7">
        <w:rPr>
          <w:sz w:val="24"/>
          <w:szCs w:val="24"/>
        </w:rPr>
        <w:t xml:space="preserve"> or closely related to</w:t>
      </w:r>
      <w:r w:rsidRPr="00431BA7">
        <w:rPr>
          <w:sz w:val="24"/>
          <w:szCs w:val="24"/>
        </w:rPr>
        <w:t xml:space="preserve"> the submitting company</w:t>
      </w:r>
      <w:r w:rsidR="00C71129" w:rsidRPr="00431BA7">
        <w:rPr>
          <w:sz w:val="24"/>
          <w:szCs w:val="24"/>
        </w:rPr>
        <w:t xml:space="preserve">: </w:t>
      </w:r>
      <w:bookmarkStart w:id="8" w:name="_Hlk120011249"/>
      <w:r w:rsidR="00C71129" w:rsidRPr="00431BA7">
        <w:rPr>
          <w:sz w:val="24"/>
          <w:szCs w:val="24"/>
        </w:rPr>
        <w:t>(1) The name, address, or other identifying information for the submitting company, including identification of the laboratory that conducted the study in cases where the laboratory is part of or closely affiliated with the submitting company.  The exclusion for “internal product codes” is clarified: (2) Internal product codes (code names for the test substance used internally by the company or to identify the test substance to the test laboratory).  The exclusions for names of laboratory</w:t>
      </w:r>
      <w:r w:rsidR="00B6654E" w:rsidRPr="00431BA7">
        <w:rPr>
          <w:sz w:val="24"/>
          <w:szCs w:val="24"/>
        </w:rPr>
        <w:t xml:space="preserve"> </w:t>
      </w:r>
      <w:r w:rsidR="00C71129" w:rsidRPr="00431BA7">
        <w:rPr>
          <w:sz w:val="24"/>
          <w:szCs w:val="24"/>
        </w:rPr>
        <w:t>personnel and for names and other private information of study subjects are also combined in the final rule: (3) Names and contact details for testing laboratory personnel</w:t>
      </w:r>
      <w:r w:rsidR="006855D4" w:rsidRPr="00431BA7">
        <w:rPr>
          <w:sz w:val="24"/>
          <w:szCs w:val="24"/>
        </w:rPr>
        <w:t xml:space="preserve"> and</w:t>
      </w:r>
      <w:r w:rsidR="00C71129" w:rsidRPr="00431BA7">
        <w:rPr>
          <w:sz w:val="24"/>
          <w:szCs w:val="24"/>
        </w:rPr>
        <w:t xml:space="preserve"> names and </w:t>
      </w:r>
      <w:r w:rsidR="006855D4" w:rsidRPr="00431BA7">
        <w:rPr>
          <w:sz w:val="24"/>
          <w:szCs w:val="24"/>
        </w:rPr>
        <w:t xml:space="preserve">other private information for health and safety </w:t>
      </w:r>
      <w:r w:rsidR="00C71129" w:rsidRPr="00431BA7">
        <w:rPr>
          <w:sz w:val="24"/>
          <w:szCs w:val="24"/>
        </w:rPr>
        <w:t>study participant</w:t>
      </w:r>
      <w:r w:rsidR="006855D4" w:rsidRPr="00431BA7">
        <w:rPr>
          <w:sz w:val="24"/>
          <w:szCs w:val="24"/>
        </w:rPr>
        <w:t xml:space="preserve">s or persons involved in chemical incidents </w:t>
      </w:r>
      <w:r w:rsidR="00A63337" w:rsidRPr="00431BA7">
        <w:rPr>
          <w:sz w:val="24"/>
          <w:szCs w:val="24"/>
        </w:rPr>
        <w:t>such as would typically be withheld under 5 USC 552(b)(6) or under other privacy laws</w:t>
      </w:r>
      <w:r w:rsidR="00C71129" w:rsidRPr="00431BA7">
        <w:rPr>
          <w:sz w:val="24"/>
          <w:szCs w:val="24"/>
        </w:rPr>
        <w:t xml:space="preserve">.  </w:t>
      </w:r>
      <w:r w:rsidR="00A63337" w:rsidRPr="00431BA7">
        <w:rPr>
          <w:sz w:val="24"/>
          <w:szCs w:val="24"/>
        </w:rPr>
        <w:t xml:space="preserve">Finally, the proposed exceptions for costs and other financial data and for product </w:t>
      </w:r>
      <w:r w:rsidR="00A63337" w:rsidRPr="00431BA7">
        <w:rPr>
          <w:sz w:val="24"/>
          <w:szCs w:val="24"/>
        </w:rPr>
        <w:lastRenderedPageBreak/>
        <w:t xml:space="preserve">development, advertising, and marketing plans are combined.  These types of information do not often appear in study reports </w:t>
      </w:r>
      <w:proofErr w:type="gramStart"/>
      <w:r w:rsidR="00A63337" w:rsidRPr="00431BA7">
        <w:rPr>
          <w:sz w:val="24"/>
          <w:szCs w:val="24"/>
        </w:rPr>
        <w:t>themselves, but</w:t>
      </w:r>
      <w:proofErr w:type="gramEnd"/>
      <w:r w:rsidR="00A63337" w:rsidRPr="00431BA7">
        <w:rPr>
          <w:sz w:val="24"/>
          <w:szCs w:val="24"/>
        </w:rPr>
        <w:t xml:space="preserve"> may be included with a larger submission that includes a study report or other health and safety data, or included in materials relating to cost sharing for chemical testing (e.g., in relation to a test order): (4) </w:t>
      </w:r>
      <w:r w:rsidR="00CD2049" w:rsidRPr="00431BA7">
        <w:rPr>
          <w:sz w:val="24"/>
          <w:szCs w:val="24"/>
        </w:rPr>
        <w:t>I</w:t>
      </w:r>
      <w:r w:rsidR="00A63337" w:rsidRPr="00431BA7">
        <w:rPr>
          <w:sz w:val="24"/>
          <w:szCs w:val="24"/>
        </w:rPr>
        <w:t>nformation pertaining to test substance product development, advertising, or marketing plans, or to cost and other financial data.</w:t>
      </w:r>
      <w:bookmarkEnd w:id="8"/>
    </w:p>
    <w:p w14:paraId="6CFE2676" w14:textId="755E310A" w:rsidR="00DA4641" w:rsidRPr="00431BA7" w:rsidRDefault="00DA4641" w:rsidP="00485006">
      <w:pPr>
        <w:rPr>
          <w:sz w:val="24"/>
          <w:szCs w:val="24"/>
        </w:rPr>
      </w:pPr>
      <w:r w:rsidRPr="00431BA7">
        <w:rPr>
          <w:sz w:val="24"/>
          <w:szCs w:val="24"/>
        </w:rPr>
        <w:t xml:space="preserve">Notably, </w:t>
      </w:r>
      <w:r w:rsidR="00970278" w:rsidRPr="00431BA7">
        <w:rPr>
          <w:sz w:val="24"/>
          <w:szCs w:val="24"/>
        </w:rPr>
        <w:t xml:space="preserve">if there is a FOIA request for a study, </w:t>
      </w:r>
      <w:r w:rsidR="001F2BC0" w:rsidRPr="00431BA7">
        <w:rPr>
          <w:sz w:val="24"/>
          <w:szCs w:val="24"/>
        </w:rPr>
        <w:t>some of this information that is not considered underlying information pursuant to section 3(2)</w:t>
      </w:r>
      <w:r w:rsidR="00970278" w:rsidRPr="00431BA7">
        <w:rPr>
          <w:sz w:val="24"/>
          <w:szCs w:val="24"/>
        </w:rPr>
        <w:t xml:space="preserve"> </w:t>
      </w:r>
      <w:r w:rsidR="00B924B2" w:rsidRPr="00431BA7">
        <w:rPr>
          <w:sz w:val="24"/>
          <w:szCs w:val="24"/>
        </w:rPr>
        <w:t>could be considered as personal privacy information</w:t>
      </w:r>
      <w:r w:rsidR="001F2BC0" w:rsidRPr="00431BA7">
        <w:rPr>
          <w:sz w:val="24"/>
          <w:szCs w:val="24"/>
        </w:rPr>
        <w:t xml:space="preserve"> under 5 USC 552(b)(6)</w:t>
      </w:r>
      <w:r w:rsidR="00E96388" w:rsidRPr="00431BA7">
        <w:rPr>
          <w:sz w:val="24"/>
          <w:szCs w:val="24"/>
        </w:rPr>
        <w:t xml:space="preserve"> </w:t>
      </w:r>
      <w:r w:rsidR="00B924B2" w:rsidRPr="00431BA7">
        <w:rPr>
          <w:sz w:val="24"/>
          <w:szCs w:val="24"/>
        </w:rPr>
        <w:t>in certain situations</w:t>
      </w:r>
      <w:r w:rsidR="00E96388" w:rsidRPr="00431BA7">
        <w:rPr>
          <w:sz w:val="24"/>
          <w:szCs w:val="24"/>
        </w:rPr>
        <w:t xml:space="preserve"> (e.g., the names and </w:t>
      </w:r>
      <w:r w:rsidR="00970278" w:rsidRPr="00431BA7">
        <w:rPr>
          <w:sz w:val="24"/>
          <w:szCs w:val="24"/>
        </w:rPr>
        <w:t>contact details for laboratory personnel)</w:t>
      </w:r>
      <w:r w:rsidR="00C6687D" w:rsidRPr="00431BA7">
        <w:rPr>
          <w:sz w:val="24"/>
          <w:szCs w:val="24"/>
        </w:rPr>
        <w:t xml:space="preserve">. TSCA only </w:t>
      </w:r>
      <w:r w:rsidR="00CE4EFA" w:rsidRPr="00431BA7">
        <w:rPr>
          <w:sz w:val="24"/>
          <w:szCs w:val="24"/>
        </w:rPr>
        <w:t>specifies</w:t>
      </w:r>
      <w:r w:rsidR="00C6687D" w:rsidRPr="00431BA7">
        <w:rPr>
          <w:sz w:val="24"/>
          <w:szCs w:val="24"/>
        </w:rPr>
        <w:t xml:space="preserve"> that </w:t>
      </w:r>
      <w:r w:rsidR="00ED5C39" w:rsidRPr="00431BA7">
        <w:rPr>
          <w:sz w:val="24"/>
          <w:szCs w:val="24"/>
        </w:rPr>
        <w:t xml:space="preserve">the business confidentiality protections of </w:t>
      </w:r>
      <w:r w:rsidR="00C6687D" w:rsidRPr="00431BA7">
        <w:rPr>
          <w:sz w:val="24"/>
          <w:szCs w:val="24"/>
        </w:rPr>
        <w:t xml:space="preserve">FOIA </w:t>
      </w:r>
      <w:r w:rsidR="334DB537" w:rsidRPr="00431BA7">
        <w:rPr>
          <w:sz w:val="24"/>
          <w:szCs w:val="24"/>
        </w:rPr>
        <w:t>E</w:t>
      </w:r>
      <w:r w:rsidR="27B34F63" w:rsidRPr="00431BA7">
        <w:rPr>
          <w:sz w:val="24"/>
          <w:szCs w:val="24"/>
        </w:rPr>
        <w:t xml:space="preserve">xemption </w:t>
      </w:r>
      <w:r w:rsidR="334DB537" w:rsidRPr="00431BA7">
        <w:rPr>
          <w:sz w:val="24"/>
          <w:szCs w:val="24"/>
        </w:rPr>
        <w:t>4</w:t>
      </w:r>
      <w:r w:rsidR="00CE4EFA" w:rsidRPr="00431BA7">
        <w:rPr>
          <w:sz w:val="24"/>
          <w:szCs w:val="24"/>
        </w:rPr>
        <w:t xml:space="preserve"> cannot be </w:t>
      </w:r>
      <w:r w:rsidR="00AC70E6" w:rsidRPr="00431BA7">
        <w:rPr>
          <w:sz w:val="24"/>
          <w:szCs w:val="24"/>
        </w:rPr>
        <w:t>the</w:t>
      </w:r>
      <w:r w:rsidR="00CE4EFA" w:rsidRPr="00431BA7">
        <w:rPr>
          <w:sz w:val="24"/>
          <w:szCs w:val="24"/>
        </w:rPr>
        <w:t xml:space="preserve"> basis </w:t>
      </w:r>
      <w:r w:rsidR="00E625AC" w:rsidRPr="00431BA7">
        <w:rPr>
          <w:sz w:val="24"/>
          <w:szCs w:val="24"/>
        </w:rPr>
        <w:t xml:space="preserve">for </w:t>
      </w:r>
      <w:r w:rsidR="00CE4EFA" w:rsidRPr="00431BA7">
        <w:rPr>
          <w:sz w:val="24"/>
          <w:szCs w:val="24"/>
        </w:rPr>
        <w:t>protect</w:t>
      </w:r>
      <w:r w:rsidR="00E625AC" w:rsidRPr="00431BA7">
        <w:rPr>
          <w:sz w:val="24"/>
          <w:szCs w:val="24"/>
        </w:rPr>
        <w:t>ing this</w:t>
      </w:r>
      <w:r w:rsidR="00CE4EFA" w:rsidRPr="00431BA7">
        <w:rPr>
          <w:sz w:val="24"/>
          <w:szCs w:val="24"/>
        </w:rPr>
        <w:t xml:space="preserve"> information </w:t>
      </w:r>
      <w:r w:rsidR="00E96388" w:rsidRPr="00431BA7">
        <w:rPr>
          <w:sz w:val="24"/>
          <w:szCs w:val="24"/>
        </w:rPr>
        <w:t xml:space="preserve">from disclosure. </w:t>
      </w:r>
      <w:r w:rsidR="00127775" w:rsidRPr="00431BA7">
        <w:rPr>
          <w:sz w:val="24"/>
          <w:szCs w:val="24"/>
        </w:rPr>
        <w:t>15 USC 2613(b)(5).</w:t>
      </w:r>
    </w:p>
    <w:p w14:paraId="7F6FB2EE" w14:textId="6661CF25" w:rsidR="005437C5" w:rsidRPr="00431BA7" w:rsidRDefault="005437C5" w:rsidP="00485006">
      <w:pPr>
        <w:rPr>
          <w:sz w:val="24"/>
          <w:szCs w:val="24"/>
        </w:rPr>
      </w:pPr>
      <w:r w:rsidRPr="00431BA7">
        <w:rPr>
          <w:b/>
          <w:sz w:val="24"/>
          <w:szCs w:val="24"/>
        </w:rPr>
        <w:t>Comment</w:t>
      </w:r>
      <w:r w:rsidRPr="00431BA7">
        <w:rPr>
          <w:sz w:val="24"/>
          <w:szCs w:val="24"/>
        </w:rPr>
        <w:t>:  The identity of the submitting company can be directly relevant to understanding the potential exposures to the chemical that is the subject of a study</w:t>
      </w:r>
      <w:r w:rsidR="006F4408" w:rsidRPr="00431BA7">
        <w:rPr>
          <w:sz w:val="24"/>
          <w:szCs w:val="24"/>
        </w:rPr>
        <w:t>.</w:t>
      </w:r>
    </w:p>
    <w:p w14:paraId="5154B4C1" w14:textId="69C87689" w:rsidR="008B419D" w:rsidRPr="00431BA7" w:rsidRDefault="008B419D" w:rsidP="00485006">
      <w:pPr>
        <w:rPr>
          <w:sz w:val="24"/>
          <w:szCs w:val="24"/>
        </w:rPr>
      </w:pPr>
      <w:r w:rsidRPr="00431BA7">
        <w:rPr>
          <w:sz w:val="24"/>
          <w:szCs w:val="24"/>
        </w:rPr>
        <w:t>Source:</w:t>
      </w:r>
      <w:r w:rsidR="00D338B9" w:rsidRPr="00431BA7">
        <w:rPr>
          <w:sz w:val="24"/>
          <w:szCs w:val="24"/>
        </w:rPr>
        <w:t xml:space="preserve"> -0050</w:t>
      </w:r>
    </w:p>
    <w:p w14:paraId="0DD34EE4" w14:textId="1A93FABC" w:rsidR="00AA462D" w:rsidRPr="00431BA7" w:rsidRDefault="006F4408" w:rsidP="000C3F39">
      <w:pPr>
        <w:rPr>
          <w:sz w:val="24"/>
          <w:szCs w:val="24"/>
        </w:rPr>
      </w:pPr>
      <w:r w:rsidRPr="00431BA7">
        <w:rPr>
          <w:b/>
          <w:bCs/>
          <w:sz w:val="24"/>
          <w:szCs w:val="24"/>
        </w:rPr>
        <w:t>Response</w:t>
      </w:r>
      <w:r w:rsidRPr="00431BA7">
        <w:rPr>
          <w:sz w:val="24"/>
          <w:szCs w:val="24"/>
        </w:rPr>
        <w:t xml:space="preserve">: </w:t>
      </w:r>
      <w:r w:rsidR="00C12616" w:rsidRPr="00431BA7">
        <w:rPr>
          <w:sz w:val="24"/>
          <w:szCs w:val="24"/>
        </w:rPr>
        <w:t xml:space="preserve">This comment </w:t>
      </w:r>
      <w:r w:rsidR="00775B04" w:rsidRPr="00431BA7">
        <w:rPr>
          <w:sz w:val="24"/>
          <w:szCs w:val="24"/>
        </w:rPr>
        <w:t xml:space="preserve">confuses </w:t>
      </w:r>
      <w:r w:rsidR="00981AAF" w:rsidRPr="00431BA7">
        <w:rPr>
          <w:sz w:val="24"/>
          <w:szCs w:val="24"/>
        </w:rPr>
        <w:t>interpretation of</w:t>
      </w:r>
      <w:r w:rsidR="00775B04" w:rsidRPr="00431BA7">
        <w:rPr>
          <w:sz w:val="24"/>
          <w:szCs w:val="24"/>
        </w:rPr>
        <w:t xml:space="preserve"> a study with the</w:t>
      </w:r>
      <w:r w:rsidR="009338F9" w:rsidRPr="00431BA7">
        <w:rPr>
          <w:sz w:val="24"/>
          <w:szCs w:val="24"/>
        </w:rPr>
        <w:t xml:space="preserve"> </w:t>
      </w:r>
      <w:r w:rsidR="00F10A87" w:rsidRPr="00431BA7">
        <w:rPr>
          <w:sz w:val="24"/>
          <w:szCs w:val="24"/>
        </w:rPr>
        <w:t>analysis</w:t>
      </w:r>
      <w:r w:rsidR="006E188E" w:rsidRPr="00431BA7">
        <w:rPr>
          <w:sz w:val="24"/>
          <w:szCs w:val="24"/>
        </w:rPr>
        <w:t xml:space="preserve"> that is done </w:t>
      </w:r>
      <w:r w:rsidR="00C760A5" w:rsidRPr="00431BA7">
        <w:rPr>
          <w:sz w:val="24"/>
          <w:szCs w:val="24"/>
        </w:rPr>
        <w:t>on aspects of risk</w:t>
      </w:r>
      <w:r w:rsidR="00775B04" w:rsidRPr="00431BA7">
        <w:rPr>
          <w:sz w:val="24"/>
          <w:szCs w:val="24"/>
        </w:rPr>
        <w:t xml:space="preserve"> </w:t>
      </w:r>
      <w:r w:rsidR="00C63FD0" w:rsidRPr="00431BA7">
        <w:rPr>
          <w:sz w:val="24"/>
          <w:szCs w:val="24"/>
        </w:rPr>
        <w:t>that are not part of the</w:t>
      </w:r>
      <w:r w:rsidR="00775B04" w:rsidRPr="00431BA7">
        <w:rPr>
          <w:sz w:val="24"/>
          <w:szCs w:val="24"/>
        </w:rPr>
        <w:t xml:space="preserve"> study</w:t>
      </w:r>
      <w:r w:rsidR="001043B7" w:rsidRPr="00431BA7">
        <w:rPr>
          <w:sz w:val="24"/>
          <w:szCs w:val="24"/>
        </w:rPr>
        <w:t>.</w:t>
      </w:r>
      <w:r w:rsidR="006B011B" w:rsidRPr="00431BA7">
        <w:rPr>
          <w:sz w:val="24"/>
          <w:szCs w:val="24"/>
        </w:rPr>
        <w:t xml:space="preserve"> The definition of health and safety study in TSCA section 3(8) is clear on this point, including</w:t>
      </w:r>
      <w:r w:rsidR="00B04E31" w:rsidRPr="00431BA7">
        <w:rPr>
          <w:sz w:val="24"/>
          <w:szCs w:val="24"/>
        </w:rPr>
        <w:t xml:space="preserve">, e.g., </w:t>
      </w:r>
      <w:r w:rsidR="00B8798B" w:rsidRPr="00431BA7">
        <w:rPr>
          <w:sz w:val="24"/>
          <w:szCs w:val="24"/>
        </w:rPr>
        <w:t>a</w:t>
      </w:r>
      <w:r w:rsidR="006B011B" w:rsidRPr="00431BA7">
        <w:rPr>
          <w:sz w:val="24"/>
          <w:szCs w:val="24"/>
        </w:rPr>
        <w:t xml:space="preserve"> “</w:t>
      </w:r>
      <w:r w:rsidR="00B04E31" w:rsidRPr="00431BA7">
        <w:rPr>
          <w:sz w:val="24"/>
          <w:szCs w:val="24"/>
        </w:rPr>
        <w:t>study of any effect of a chemical substance or mixture on health or the environment</w:t>
      </w:r>
      <w:r w:rsidR="006B011B" w:rsidRPr="00431BA7">
        <w:rPr>
          <w:sz w:val="24"/>
          <w:szCs w:val="24"/>
        </w:rPr>
        <w:t>”</w:t>
      </w:r>
      <w:r w:rsidR="00B8798B" w:rsidRPr="00431BA7">
        <w:rPr>
          <w:sz w:val="24"/>
          <w:szCs w:val="24"/>
        </w:rPr>
        <w:t xml:space="preserve"> and “</w:t>
      </w:r>
      <w:r w:rsidR="000C3F39" w:rsidRPr="00431BA7">
        <w:rPr>
          <w:sz w:val="24"/>
          <w:szCs w:val="24"/>
        </w:rPr>
        <w:t>studies of occupational exposure to a chemical substance or mixture</w:t>
      </w:r>
      <w:r w:rsidR="00D338B9" w:rsidRPr="00431BA7">
        <w:rPr>
          <w:sz w:val="24"/>
          <w:szCs w:val="24"/>
        </w:rPr>
        <w:t>.</w:t>
      </w:r>
      <w:r w:rsidR="00B8798B" w:rsidRPr="00431BA7">
        <w:rPr>
          <w:sz w:val="24"/>
          <w:szCs w:val="24"/>
        </w:rPr>
        <w:t>”</w:t>
      </w:r>
      <w:r w:rsidR="005A31EC" w:rsidRPr="00431BA7">
        <w:rPr>
          <w:sz w:val="24"/>
          <w:szCs w:val="24"/>
        </w:rPr>
        <w:t xml:space="preserve"> </w:t>
      </w:r>
      <w:r w:rsidR="009B4AD2" w:rsidRPr="00431BA7">
        <w:rPr>
          <w:sz w:val="24"/>
          <w:szCs w:val="24"/>
        </w:rPr>
        <w:t xml:space="preserve">That </w:t>
      </w:r>
      <w:r w:rsidR="00AC5218" w:rsidRPr="00431BA7">
        <w:rPr>
          <w:sz w:val="24"/>
          <w:szCs w:val="24"/>
        </w:rPr>
        <w:t xml:space="preserve">the submitter of </w:t>
      </w:r>
      <w:r w:rsidR="009B4AD2" w:rsidRPr="00431BA7">
        <w:rPr>
          <w:sz w:val="24"/>
          <w:szCs w:val="24"/>
        </w:rPr>
        <w:t>a particular</w:t>
      </w:r>
      <w:r w:rsidR="000F5661" w:rsidRPr="00431BA7">
        <w:rPr>
          <w:sz w:val="24"/>
          <w:szCs w:val="24"/>
        </w:rPr>
        <w:t xml:space="preserve"> study manufactures</w:t>
      </w:r>
      <w:r w:rsidR="00E00D73" w:rsidRPr="00431BA7">
        <w:rPr>
          <w:sz w:val="24"/>
          <w:szCs w:val="24"/>
        </w:rPr>
        <w:t xml:space="preserve"> a </w:t>
      </w:r>
      <w:r w:rsidR="00E514B5" w:rsidRPr="00431BA7">
        <w:rPr>
          <w:sz w:val="24"/>
          <w:szCs w:val="24"/>
        </w:rPr>
        <w:t>chemical substance or mixture that is the subject of the study</w:t>
      </w:r>
      <w:r w:rsidR="000320DB" w:rsidRPr="00431BA7">
        <w:rPr>
          <w:sz w:val="24"/>
          <w:szCs w:val="24"/>
        </w:rPr>
        <w:t xml:space="preserve"> </w:t>
      </w:r>
      <w:r w:rsidR="00455DBE" w:rsidRPr="00431BA7">
        <w:rPr>
          <w:sz w:val="24"/>
          <w:szCs w:val="24"/>
        </w:rPr>
        <w:t>does not make the study</w:t>
      </w:r>
      <w:r w:rsidR="00F81399" w:rsidRPr="00431BA7">
        <w:rPr>
          <w:sz w:val="24"/>
          <w:szCs w:val="24"/>
        </w:rPr>
        <w:t xml:space="preserve"> one “of occupational exposure to a chemical substance or mixture</w:t>
      </w:r>
      <w:r w:rsidR="00D338B9" w:rsidRPr="00431BA7">
        <w:rPr>
          <w:sz w:val="24"/>
          <w:szCs w:val="24"/>
        </w:rPr>
        <w:t>.</w:t>
      </w:r>
      <w:r w:rsidR="00F81399" w:rsidRPr="00431BA7">
        <w:rPr>
          <w:sz w:val="24"/>
          <w:szCs w:val="24"/>
        </w:rPr>
        <w:t>”</w:t>
      </w:r>
      <w:r w:rsidR="008926E5" w:rsidRPr="00431BA7">
        <w:rPr>
          <w:sz w:val="24"/>
          <w:szCs w:val="24"/>
        </w:rPr>
        <w:t xml:space="preserve"> EPA’s assessment of</w:t>
      </w:r>
      <w:r w:rsidR="00DA19E8" w:rsidRPr="00431BA7">
        <w:rPr>
          <w:sz w:val="24"/>
          <w:szCs w:val="24"/>
        </w:rPr>
        <w:t xml:space="preserve"> exposure is based on</w:t>
      </w:r>
      <w:r w:rsidR="008D28A2" w:rsidRPr="00431BA7">
        <w:rPr>
          <w:sz w:val="24"/>
          <w:szCs w:val="24"/>
        </w:rPr>
        <w:t xml:space="preserve"> specific information</w:t>
      </w:r>
      <w:r w:rsidR="00D6605B" w:rsidRPr="00431BA7">
        <w:rPr>
          <w:sz w:val="24"/>
          <w:szCs w:val="24"/>
        </w:rPr>
        <w:t xml:space="preserve"> submitted under applicable authorities, such as</w:t>
      </w:r>
      <w:r w:rsidR="007957C5" w:rsidRPr="00431BA7">
        <w:rPr>
          <w:sz w:val="24"/>
          <w:szCs w:val="24"/>
        </w:rPr>
        <w:t xml:space="preserve"> TSCA section 8(a)</w:t>
      </w:r>
      <w:r w:rsidR="00191B1D" w:rsidRPr="00431BA7">
        <w:rPr>
          <w:sz w:val="24"/>
          <w:szCs w:val="24"/>
        </w:rPr>
        <w:t>.</w:t>
      </w:r>
    </w:p>
    <w:p w14:paraId="000F894D" w14:textId="170ACCD3" w:rsidR="00AA462D" w:rsidRPr="00431BA7" w:rsidRDefault="00C11641" w:rsidP="000C3F39">
      <w:pPr>
        <w:rPr>
          <w:sz w:val="24"/>
          <w:szCs w:val="24"/>
        </w:rPr>
      </w:pPr>
      <w:bookmarkStart w:id="9" w:name="_Hlk130996438"/>
      <w:r w:rsidRPr="00431BA7">
        <w:rPr>
          <w:b/>
          <w:sz w:val="24"/>
          <w:szCs w:val="24"/>
        </w:rPr>
        <w:t>Comment</w:t>
      </w:r>
      <w:r w:rsidRPr="00431BA7">
        <w:rPr>
          <w:sz w:val="24"/>
          <w:szCs w:val="24"/>
        </w:rPr>
        <w:t>:  Understanding whether a company with a vested financial interest in the subject chemical is the submitter of a study is of direct relevance to assessing the reliability of the study</w:t>
      </w:r>
      <w:r w:rsidR="00B07E03" w:rsidRPr="00431BA7">
        <w:rPr>
          <w:sz w:val="24"/>
          <w:szCs w:val="24"/>
        </w:rPr>
        <w:t>.</w:t>
      </w:r>
      <w:r w:rsidR="00784A93" w:rsidRPr="00431BA7">
        <w:rPr>
          <w:sz w:val="24"/>
          <w:szCs w:val="24"/>
        </w:rPr>
        <w:t xml:space="preserve"> </w:t>
      </w:r>
      <w:r w:rsidR="00D400FE" w:rsidRPr="00431BA7">
        <w:rPr>
          <w:sz w:val="24"/>
          <w:szCs w:val="24"/>
        </w:rPr>
        <w:t>The name of the laboratory conducting a study may well be relevant to gauging the reliability of the study.</w:t>
      </w:r>
    </w:p>
    <w:p w14:paraId="1460746D" w14:textId="566E2C9D" w:rsidR="008B419D" w:rsidRPr="00431BA7" w:rsidRDefault="008B419D" w:rsidP="000C3F39">
      <w:pPr>
        <w:rPr>
          <w:sz w:val="24"/>
          <w:szCs w:val="24"/>
        </w:rPr>
      </w:pPr>
      <w:r w:rsidRPr="00431BA7">
        <w:rPr>
          <w:sz w:val="24"/>
          <w:szCs w:val="24"/>
        </w:rPr>
        <w:t>Source:</w:t>
      </w:r>
      <w:r w:rsidR="00D338B9" w:rsidRPr="00431BA7">
        <w:rPr>
          <w:sz w:val="24"/>
          <w:szCs w:val="24"/>
        </w:rPr>
        <w:t xml:space="preserve"> -0050</w:t>
      </w:r>
    </w:p>
    <w:p w14:paraId="4744F690" w14:textId="2B53D3E2" w:rsidR="00A12FFC" w:rsidRPr="00431BA7" w:rsidRDefault="00A12FFC" w:rsidP="000C3F39">
      <w:pPr>
        <w:rPr>
          <w:sz w:val="24"/>
          <w:szCs w:val="24"/>
        </w:rPr>
      </w:pPr>
      <w:r w:rsidRPr="00431BA7">
        <w:rPr>
          <w:b/>
          <w:bCs/>
          <w:sz w:val="24"/>
          <w:szCs w:val="24"/>
        </w:rPr>
        <w:t>Response</w:t>
      </w:r>
      <w:r w:rsidR="001F42AA" w:rsidRPr="00431BA7">
        <w:rPr>
          <w:b/>
          <w:bCs/>
          <w:sz w:val="24"/>
          <w:szCs w:val="24"/>
        </w:rPr>
        <w:t xml:space="preserve">: </w:t>
      </w:r>
      <w:r w:rsidR="005A539B" w:rsidRPr="00431BA7">
        <w:rPr>
          <w:sz w:val="24"/>
          <w:szCs w:val="24"/>
        </w:rPr>
        <w:t xml:space="preserve">Assessing the reliability of a study </w:t>
      </w:r>
      <w:r w:rsidR="00F83A94" w:rsidRPr="00431BA7">
        <w:rPr>
          <w:sz w:val="24"/>
          <w:szCs w:val="24"/>
        </w:rPr>
        <w:t xml:space="preserve">is an </w:t>
      </w:r>
      <w:r w:rsidR="005A539B" w:rsidRPr="00431BA7">
        <w:rPr>
          <w:sz w:val="24"/>
          <w:szCs w:val="24"/>
        </w:rPr>
        <w:t>integral part</w:t>
      </w:r>
      <w:r w:rsidR="002D7FC1" w:rsidRPr="00431BA7">
        <w:rPr>
          <w:sz w:val="24"/>
          <w:szCs w:val="24"/>
        </w:rPr>
        <w:t xml:space="preserve"> of the Agency’s consideration of the study</w:t>
      </w:r>
      <w:r w:rsidR="009A6A6A" w:rsidRPr="00431BA7">
        <w:rPr>
          <w:sz w:val="24"/>
          <w:szCs w:val="24"/>
        </w:rPr>
        <w:t xml:space="preserve">, regardless of </w:t>
      </w:r>
      <w:r w:rsidR="00CD2C08" w:rsidRPr="00431BA7">
        <w:rPr>
          <w:sz w:val="24"/>
          <w:szCs w:val="24"/>
        </w:rPr>
        <w:t>its source</w:t>
      </w:r>
      <w:r w:rsidR="002D7FC1" w:rsidRPr="00431BA7">
        <w:rPr>
          <w:sz w:val="24"/>
          <w:szCs w:val="24"/>
        </w:rPr>
        <w:t xml:space="preserve">. </w:t>
      </w:r>
      <w:bookmarkEnd w:id="9"/>
      <w:r w:rsidR="00F83A94" w:rsidRPr="00431BA7">
        <w:rPr>
          <w:sz w:val="24"/>
          <w:szCs w:val="24"/>
        </w:rPr>
        <w:t>EPA evaluates reliability by examining factors including the quality of reporting, the appropriate use of positive and negative controls, the sensitivity of the exposure methods, and other factors that affect both study sensitivity (the ability to detect a toxic effect when one occurs) and risk of bias (the tendency to over- or under-estimate effects).</w:t>
      </w:r>
    </w:p>
    <w:p w14:paraId="33A2DB32" w14:textId="4CEE00EC" w:rsidR="008053A0" w:rsidRPr="00431BA7" w:rsidRDefault="008053A0" w:rsidP="000C3F39">
      <w:pPr>
        <w:rPr>
          <w:sz w:val="24"/>
          <w:szCs w:val="24"/>
        </w:rPr>
      </w:pPr>
      <w:r w:rsidRPr="00431BA7">
        <w:rPr>
          <w:b/>
          <w:sz w:val="24"/>
          <w:szCs w:val="24"/>
        </w:rPr>
        <w:t>Comment</w:t>
      </w:r>
      <w:r w:rsidRPr="00431BA7">
        <w:rPr>
          <w:sz w:val="24"/>
          <w:szCs w:val="24"/>
        </w:rPr>
        <w:t xml:space="preserve">:  </w:t>
      </w:r>
      <w:r w:rsidR="00613FF5" w:rsidRPr="00431BA7">
        <w:rPr>
          <w:sz w:val="24"/>
          <w:szCs w:val="24"/>
        </w:rPr>
        <w:t>The definition o</w:t>
      </w:r>
      <w:r w:rsidR="00CC316D" w:rsidRPr="00431BA7">
        <w:rPr>
          <w:sz w:val="24"/>
          <w:szCs w:val="24"/>
        </w:rPr>
        <w:t xml:space="preserve">f health and safety study in TSCA section 3(8) </w:t>
      </w:r>
      <w:r w:rsidR="00BA0079" w:rsidRPr="00431BA7">
        <w:rPr>
          <w:sz w:val="24"/>
          <w:szCs w:val="24"/>
        </w:rPr>
        <w:t xml:space="preserve">makes no mention of parts or pieces of information within the studies, and the concept of ancillary information does not appear in TSCA. </w:t>
      </w:r>
      <w:r w:rsidR="00BD37D1" w:rsidRPr="00431BA7">
        <w:rPr>
          <w:sz w:val="24"/>
          <w:szCs w:val="24"/>
        </w:rPr>
        <w:t>Section 14(b)(2)</w:t>
      </w:r>
      <w:r w:rsidR="00864362" w:rsidRPr="00431BA7">
        <w:rPr>
          <w:sz w:val="24"/>
          <w:szCs w:val="24"/>
        </w:rPr>
        <w:t xml:space="preserve"> requires disclosure of information obtained from a study.</w:t>
      </w:r>
    </w:p>
    <w:p w14:paraId="61A64A01" w14:textId="1FAE5C0A" w:rsidR="008B419D" w:rsidRPr="00431BA7" w:rsidRDefault="008B419D" w:rsidP="000C3F39">
      <w:pPr>
        <w:rPr>
          <w:sz w:val="24"/>
          <w:szCs w:val="24"/>
        </w:rPr>
      </w:pPr>
      <w:r w:rsidRPr="00431BA7">
        <w:rPr>
          <w:sz w:val="24"/>
          <w:szCs w:val="24"/>
        </w:rPr>
        <w:lastRenderedPageBreak/>
        <w:t>Source:</w:t>
      </w:r>
      <w:r w:rsidR="00D338B9" w:rsidRPr="00431BA7">
        <w:rPr>
          <w:sz w:val="24"/>
          <w:szCs w:val="24"/>
        </w:rPr>
        <w:t xml:space="preserve"> -0049</w:t>
      </w:r>
    </w:p>
    <w:p w14:paraId="0A789017" w14:textId="327A2FCC" w:rsidR="005043D1" w:rsidRPr="00431BA7" w:rsidRDefault="005043D1" w:rsidP="000C3F39">
      <w:pPr>
        <w:rPr>
          <w:sz w:val="24"/>
          <w:szCs w:val="24"/>
        </w:rPr>
      </w:pPr>
      <w:r w:rsidRPr="00431BA7">
        <w:rPr>
          <w:b/>
          <w:bCs/>
          <w:sz w:val="24"/>
          <w:szCs w:val="24"/>
        </w:rPr>
        <w:t>Response:</w:t>
      </w:r>
      <w:r w:rsidRPr="00431BA7">
        <w:rPr>
          <w:b/>
          <w:bCs/>
          <w:i/>
          <w:iCs/>
          <w:sz w:val="24"/>
          <w:szCs w:val="24"/>
        </w:rPr>
        <w:t xml:space="preserve"> </w:t>
      </w:r>
      <w:r w:rsidRPr="00431BA7">
        <w:rPr>
          <w:b/>
          <w:bCs/>
          <w:sz w:val="24"/>
          <w:szCs w:val="24"/>
        </w:rPr>
        <w:t xml:space="preserve"> </w:t>
      </w:r>
      <w:r w:rsidR="00B861A8" w:rsidRPr="00431BA7">
        <w:rPr>
          <w:sz w:val="24"/>
          <w:szCs w:val="24"/>
        </w:rPr>
        <w:t>Section</w:t>
      </w:r>
      <w:r w:rsidR="003B7319" w:rsidRPr="00431BA7">
        <w:rPr>
          <w:sz w:val="24"/>
          <w:szCs w:val="24"/>
        </w:rPr>
        <w:t xml:space="preserve"> 3(8) explicitly</w:t>
      </w:r>
      <w:r w:rsidR="002B3FEF" w:rsidRPr="00431BA7">
        <w:rPr>
          <w:sz w:val="24"/>
          <w:szCs w:val="24"/>
        </w:rPr>
        <w:t xml:space="preserve"> includes “underlying </w:t>
      </w:r>
      <w:r w:rsidR="00622CBB" w:rsidRPr="00431BA7">
        <w:rPr>
          <w:sz w:val="24"/>
          <w:szCs w:val="24"/>
        </w:rPr>
        <w:t>information</w:t>
      </w:r>
      <w:r w:rsidR="00D338B9" w:rsidRPr="00431BA7">
        <w:rPr>
          <w:sz w:val="24"/>
          <w:szCs w:val="24"/>
        </w:rPr>
        <w:t>.</w:t>
      </w:r>
      <w:r w:rsidR="00622CBB" w:rsidRPr="00431BA7">
        <w:rPr>
          <w:sz w:val="24"/>
          <w:szCs w:val="24"/>
        </w:rPr>
        <w:t>”</w:t>
      </w:r>
      <w:r w:rsidR="009744B1" w:rsidRPr="00431BA7">
        <w:rPr>
          <w:sz w:val="24"/>
          <w:szCs w:val="24"/>
        </w:rPr>
        <w:t xml:space="preserve"> If the intent of Congress</w:t>
      </w:r>
      <w:r w:rsidR="008A49EB" w:rsidRPr="00431BA7">
        <w:rPr>
          <w:sz w:val="24"/>
          <w:szCs w:val="24"/>
        </w:rPr>
        <w:t xml:space="preserve"> were to include</w:t>
      </w:r>
      <w:r w:rsidR="007D79A2" w:rsidRPr="00431BA7">
        <w:rPr>
          <w:sz w:val="24"/>
          <w:szCs w:val="24"/>
        </w:rPr>
        <w:t xml:space="preserve"> </w:t>
      </w:r>
      <w:r w:rsidR="003B4540" w:rsidRPr="00431BA7">
        <w:rPr>
          <w:sz w:val="24"/>
          <w:szCs w:val="24"/>
        </w:rPr>
        <w:t>all text in a study document</w:t>
      </w:r>
      <w:r w:rsidR="00823627" w:rsidRPr="00431BA7">
        <w:rPr>
          <w:sz w:val="24"/>
          <w:szCs w:val="24"/>
        </w:rPr>
        <w:t xml:space="preserve">, there would be no need for </w:t>
      </w:r>
      <w:r w:rsidR="00857C4C" w:rsidRPr="00431BA7">
        <w:rPr>
          <w:sz w:val="24"/>
          <w:szCs w:val="24"/>
        </w:rPr>
        <w:t>including underlying information. To give meaning to the phrase</w:t>
      </w:r>
      <w:r w:rsidR="006E274B" w:rsidRPr="00431BA7">
        <w:rPr>
          <w:sz w:val="24"/>
          <w:szCs w:val="24"/>
        </w:rPr>
        <w:t>, EPA must interpret</w:t>
      </w:r>
      <w:r w:rsidR="008934A1" w:rsidRPr="00431BA7">
        <w:rPr>
          <w:sz w:val="24"/>
          <w:szCs w:val="24"/>
        </w:rPr>
        <w:t xml:space="preserve"> </w:t>
      </w:r>
      <w:r w:rsidR="00037EAB" w:rsidRPr="00431BA7">
        <w:rPr>
          <w:sz w:val="24"/>
          <w:szCs w:val="24"/>
        </w:rPr>
        <w:t xml:space="preserve">section 3(8) </w:t>
      </w:r>
      <w:r w:rsidR="006A0867" w:rsidRPr="00431BA7">
        <w:rPr>
          <w:sz w:val="24"/>
          <w:szCs w:val="24"/>
        </w:rPr>
        <w:t xml:space="preserve">as not including information that does not underlie the study. </w:t>
      </w:r>
      <w:r w:rsidR="006627CF" w:rsidRPr="00431BA7">
        <w:rPr>
          <w:sz w:val="24"/>
          <w:szCs w:val="24"/>
        </w:rPr>
        <w:t>This rule</w:t>
      </w:r>
      <w:r w:rsidR="00296609" w:rsidRPr="00431BA7">
        <w:rPr>
          <w:sz w:val="24"/>
          <w:szCs w:val="24"/>
        </w:rPr>
        <w:t xml:space="preserve"> </w:t>
      </w:r>
      <w:r w:rsidR="0089239A" w:rsidRPr="00431BA7">
        <w:rPr>
          <w:sz w:val="24"/>
          <w:szCs w:val="24"/>
        </w:rPr>
        <w:t>sets out information that does not underlie a study.</w:t>
      </w:r>
    </w:p>
    <w:p w14:paraId="73D077DB" w14:textId="1013AB02" w:rsidR="006D159D" w:rsidRPr="00431BA7" w:rsidRDefault="006D159D" w:rsidP="000140FB">
      <w:pPr>
        <w:rPr>
          <w:sz w:val="24"/>
          <w:szCs w:val="24"/>
        </w:rPr>
      </w:pPr>
      <w:r w:rsidRPr="00431BA7">
        <w:rPr>
          <w:b/>
          <w:sz w:val="24"/>
          <w:szCs w:val="24"/>
        </w:rPr>
        <w:t>Comment</w:t>
      </w:r>
      <w:r w:rsidRPr="00431BA7">
        <w:rPr>
          <w:sz w:val="24"/>
          <w:szCs w:val="24"/>
        </w:rPr>
        <w:t>:  EPA should permit certain markings</w:t>
      </w:r>
      <w:r w:rsidR="5970E8AB" w:rsidRPr="00431BA7">
        <w:rPr>
          <w:sz w:val="24"/>
          <w:szCs w:val="24"/>
        </w:rPr>
        <w:t>, such as watermarks or copyright statements,</w:t>
      </w:r>
      <w:r w:rsidRPr="00431BA7">
        <w:rPr>
          <w:sz w:val="24"/>
          <w:szCs w:val="24"/>
        </w:rPr>
        <w:t xml:space="preserve"> on health and safety study documents and/or withhold or replace (with, for example, robust summaries) select information from health and safety studies for the purpose of protecting proprietary rights to those studies.</w:t>
      </w:r>
    </w:p>
    <w:p w14:paraId="6D58254B" w14:textId="664FD8F8" w:rsidR="00047F7A" w:rsidRPr="00431BA7" w:rsidRDefault="00047F7A" w:rsidP="000140FB">
      <w:pPr>
        <w:rPr>
          <w:sz w:val="24"/>
          <w:szCs w:val="24"/>
        </w:rPr>
      </w:pPr>
      <w:r w:rsidRPr="00431BA7">
        <w:rPr>
          <w:sz w:val="24"/>
          <w:szCs w:val="24"/>
        </w:rPr>
        <w:t xml:space="preserve">Source: </w:t>
      </w:r>
      <w:r w:rsidR="00342957" w:rsidRPr="00431BA7">
        <w:rPr>
          <w:sz w:val="24"/>
          <w:szCs w:val="24"/>
        </w:rPr>
        <w:t>-</w:t>
      </w:r>
      <w:r w:rsidRPr="00431BA7">
        <w:rPr>
          <w:sz w:val="24"/>
          <w:szCs w:val="24"/>
        </w:rPr>
        <w:t xml:space="preserve">0046; </w:t>
      </w:r>
      <w:r w:rsidR="00342957" w:rsidRPr="00431BA7">
        <w:rPr>
          <w:sz w:val="24"/>
          <w:szCs w:val="24"/>
        </w:rPr>
        <w:t>-</w:t>
      </w:r>
      <w:r w:rsidRPr="00431BA7">
        <w:rPr>
          <w:sz w:val="24"/>
          <w:szCs w:val="24"/>
        </w:rPr>
        <w:t>0044</w:t>
      </w:r>
    </w:p>
    <w:p w14:paraId="72B7DFF5" w14:textId="5C69AE8B" w:rsidR="006D159D" w:rsidRPr="00431BA7" w:rsidRDefault="00060C02" w:rsidP="1DC3E590">
      <w:pPr>
        <w:rPr>
          <w:sz w:val="24"/>
          <w:szCs w:val="24"/>
        </w:rPr>
      </w:pPr>
      <w:r w:rsidRPr="00431BA7">
        <w:rPr>
          <w:b/>
          <w:bCs/>
          <w:sz w:val="24"/>
          <w:szCs w:val="24"/>
        </w:rPr>
        <w:t>Response</w:t>
      </w:r>
      <w:r w:rsidR="008F64D9" w:rsidRPr="00431BA7">
        <w:rPr>
          <w:b/>
          <w:bCs/>
          <w:sz w:val="24"/>
          <w:szCs w:val="24"/>
        </w:rPr>
        <w:t>:</w:t>
      </w:r>
      <w:r w:rsidR="008F64D9" w:rsidRPr="00431BA7">
        <w:rPr>
          <w:b/>
          <w:bCs/>
          <w:i/>
          <w:iCs/>
          <w:sz w:val="24"/>
          <w:szCs w:val="24"/>
        </w:rPr>
        <w:t xml:space="preserve"> </w:t>
      </w:r>
      <w:r w:rsidR="008F64D9" w:rsidRPr="00431BA7">
        <w:rPr>
          <w:b/>
          <w:bCs/>
          <w:sz w:val="24"/>
          <w:szCs w:val="24"/>
        </w:rPr>
        <w:t xml:space="preserve"> </w:t>
      </w:r>
      <w:r w:rsidR="006D159D" w:rsidRPr="00431BA7">
        <w:rPr>
          <w:sz w:val="24"/>
          <w:szCs w:val="24"/>
        </w:rPr>
        <w:t xml:space="preserve">While the rule does not specify the use of watermarks or statements concerning authorized use of health and safety studies, EPA has permitted the use of such markings, as well as copyright and similar statements, and the final rule would not prohibit this practice from continuing.  On the other hand, </w:t>
      </w:r>
      <w:r w:rsidR="00B833F9" w:rsidRPr="00431BA7">
        <w:rPr>
          <w:sz w:val="24"/>
          <w:szCs w:val="24"/>
        </w:rPr>
        <w:t xml:space="preserve">EPA’s view is that </w:t>
      </w:r>
      <w:r w:rsidR="006D159D" w:rsidRPr="00431BA7">
        <w:rPr>
          <w:sz w:val="24"/>
          <w:szCs w:val="24"/>
        </w:rPr>
        <w:t>withholding a health and safety study document in its entire</w:t>
      </w:r>
      <w:r w:rsidR="001873BC" w:rsidRPr="00431BA7">
        <w:rPr>
          <w:sz w:val="24"/>
          <w:szCs w:val="24"/>
        </w:rPr>
        <w:t>t</w:t>
      </w:r>
      <w:r w:rsidR="006D159D" w:rsidRPr="00431BA7">
        <w:rPr>
          <w:sz w:val="24"/>
          <w:szCs w:val="24"/>
        </w:rPr>
        <w:t>y, releasing</w:t>
      </w:r>
      <w:r w:rsidR="00B833F9" w:rsidRPr="00431BA7">
        <w:rPr>
          <w:sz w:val="24"/>
          <w:szCs w:val="24"/>
        </w:rPr>
        <w:t xml:space="preserve"> only a robust summary as the “public copy” is inconsistent with </w:t>
      </w:r>
      <w:r w:rsidR="002734B5" w:rsidRPr="00431BA7">
        <w:rPr>
          <w:sz w:val="24"/>
          <w:szCs w:val="24"/>
        </w:rPr>
        <w:t xml:space="preserve">TSCA </w:t>
      </w:r>
      <w:r w:rsidR="00B833F9" w:rsidRPr="00431BA7">
        <w:rPr>
          <w:sz w:val="24"/>
          <w:szCs w:val="24"/>
        </w:rPr>
        <w:t>section 14(b) and would go well beyond the list of exclusions from the definition of health and safety study.</w:t>
      </w:r>
      <w:r w:rsidR="009B6E9D" w:rsidRPr="00431BA7">
        <w:rPr>
          <w:sz w:val="24"/>
          <w:szCs w:val="24"/>
        </w:rPr>
        <w:t xml:space="preserve">  Similarly, withholding other significant portions of the study report</w:t>
      </w:r>
      <w:r w:rsidR="00B47AE6" w:rsidRPr="00431BA7">
        <w:rPr>
          <w:sz w:val="24"/>
          <w:szCs w:val="24"/>
        </w:rPr>
        <w:t xml:space="preserve"> (such as raw data, tables</w:t>
      </w:r>
      <w:r w:rsidR="00834C6E" w:rsidRPr="00431BA7">
        <w:rPr>
          <w:sz w:val="24"/>
          <w:szCs w:val="24"/>
        </w:rPr>
        <w:t>, or charts)</w:t>
      </w:r>
      <w:r w:rsidR="009B6E9D" w:rsidRPr="00431BA7">
        <w:rPr>
          <w:sz w:val="24"/>
          <w:szCs w:val="24"/>
        </w:rPr>
        <w:t xml:space="preserve"> not covered by the exclusions </w:t>
      </w:r>
      <w:r w:rsidR="005E32A0" w:rsidRPr="00431BA7">
        <w:rPr>
          <w:sz w:val="24"/>
          <w:szCs w:val="24"/>
        </w:rPr>
        <w:t>in the rule may be impermissible under TSCA</w:t>
      </w:r>
      <w:r w:rsidR="002734B5" w:rsidRPr="00431BA7">
        <w:rPr>
          <w:sz w:val="24"/>
          <w:szCs w:val="24"/>
        </w:rPr>
        <w:t xml:space="preserve"> section</w:t>
      </w:r>
      <w:r w:rsidR="005E32A0" w:rsidRPr="00431BA7">
        <w:rPr>
          <w:sz w:val="24"/>
          <w:szCs w:val="24"/>
        </w:rPr>
        <w:t xml:space="preserve"> 14(b) so </w:t>
      </w:r>
      <w:r w:rsidR="009B6E9D" w:rsidRPr="00431BA7">
        <w:rPr>
          <w:sz w:val="24"/>
          <w:szCs w:val="24"/>
        </w:rPr>
        <w:t>would be inappropriate in a public copy and cause the submission to be considered incomplete</w:t>
      </w:r>
      <w:r w:rsidR="00B47AE6" w:rsidRPr="00431BA7">
        <w:rPr>
          <w:sz w:val="24"/>
          <w:szCs w:val="24"/>
        </w:rPr>
        <w:t xml:space="preserve"> (</w:t>
      </w:r>
      <w:proofErr w:type="gramStart"/>
      <w:r w:rsidR="00B47AE6" w:rsidRPr="00431BA7">
        <w:rPr>
          <w:sz w:val="24"/>
          <w:szCs w:val="24"/>
        </w:rPr>
        <w:t>e.g.</w:t>
      </w:r>
      <w:proofErr w:type="gramEnd"/>
      <w:r w:rsidR="00B47AE6" w:rsidRPr="00431BA7">
        <w:rPr>
          <w:sz w:val="24"/>
          <w:szCs w:val="24"/>
        </w:rPr>
        <w:t xml:space="preserve"> under 40 CFR 720.65)</w:t>
      </w:r>
      <w:r w:rsidR="005E32A0" w:rsidRPr="00431BA7">
        <w:rPr>
          <w:sz w:val="24"/>
          <w:szCs w:val="24"/>
        </w:rPr>
        <w:t>.</w:t>
      </w:r>
    </w:p>
    <w:p w14:paraId="790235BB" w14:textId="6D58220E" w:rsidR="005E32A0" w:rsidRPr="00431BA7" w:rsidRDefault="005E32A0" w:rsidP="000140FB">
      <w:pPr>
        <w:rPr>
          <w:sz w:val="24"/>
          <w:szCs w:val="24"/>
        </w:rPr>
      </w:pPr>
      <w:r w:rsidRPr="00431BA7">
        <w:rPr>
          <w:b/>
          <w:sz w:val="24"/>
          <w:szCs w:val="24"/>
        </w:rPr>
        <w:t>Comment</w:t>
      </w:r>
      <w:r w:rsidRPr="00431BA7">
        <w:rPr>
          <w:sz w:val="24"/>
          <w:szCs w:val="24"/>
        </w:rPr>
        <w:t xml:space="preserve">:  A few commenters suggested that EPA should permit </w:t>
      </w:r>
      <w:r w:rsidR="00C76ABF" w:rsidRPr="00431BA7">
        <w:rPr>
          <w:sz w:val="24"/>
          <w:szCs w:val="24"/>
        </w:rPr>
        <w:t xml:space="preserve">entities to claim as confidential the specific chemical identity of a substance in a health and safety study and provide instead the </w:t>
      </w:r>
      <w:r w:rsidRPr="00431BA7">
        <w:rPr>
          <w:sz w:val="24"/>
          <w:szCs w:val="24"/>
        </w:rPr>
        <w:t xml:space="preserve">generic name or accession number in place of </w:t>
      </w:r>
      <w:r w:rsidR="00C76ABF" w:rsidRPr="00431BA7">
        <w:rPr>
          <w:sz w:val="24"/>
          <w:szCs w:val="24"/>
        </w:rPr>
        <w:t xml:space="preserve">the </w:t>
      </w:r>
      <w:r w:rsidRPr="00431BA7">
        <w:rPr>
          <w:sz w:val="24"/>
          <w:szCs w:val="24"/>
        </w:rPr>
        <w:t xml:space="preserve">specific chemical identity in </w:t>
      </w:r>
      <w:r w:rsidR="00C76ABF" w:rsidRPr="00431BA7">
        <w:rPr>
          <w:sz w:val="24"/>
          <w:szCs w:val="24"/>
        </w:rPr>
        <w:t xml:space="preserve">the </w:t>
      </w:r>
      <w:r w:rsidRPr="00431BA7">
        <w:rPr>
          <w:sz w:val="24"/>
          <w:szCs w:val="24"/>
        </w:rPr>
        <w:t>health and safety stud</w:t>
      </w:r>
      <w:r w:rsidR="00C76ABF" w:rsidRPr="00431BA7">
        <w:rPr>
          <w:sz w:val="24"/>
          <w:szCs w:val="24"/>
        </w:rPr>
        <w:t>y</w:t>
      </w:r>
      <w:r w:rsidRPr="00431BA7">
        <w:rPr>
          <w:sz w:val="24"/>
          <w:szCs w:val="24"/>
        </w:rPr>
        <w:t>.</w:t>
      </w:r>
      <w:r w:rsidR="006175C2" w:rsidRPr="00431BA7">
        <w:rPr>
          <w:sz w:val="24"/>
          <w:szCs w:val="24"/>
        </w:rPr>
        <w:t xml:space="preserve"> </w:t>
      </w:r>
    </w:p>
    <w:p w14:paraId="5FD715A4" w14:textId="70F5440D" w:rsidR="00047F7A" w:rsidRPr="00431BA7" w:rsidRDefault="00047F7A" w:rsidP="000140FB">
      <w:pPr>
        <w:rPr>
          <w:sz w:val="24"/>
          <w:szCs w:val="24"/>
        </w:rPr>
      </w:pPr>
      <w:r w:rsidRPr="00431BA7">
        <w:rPr>
          <w:sz w:val="24"/>
          <w:szCs w:val="24"/>
        </w:rPr>
        <w:t xml:space="preserve">Source: </w:t>
      </w:r>
      <w:r w:rsidR="00342957" w:rsidRPr="00431BA7">
        <w:rPr>
          <w:sz w:val="24"/>
          <w:szCs w:val="24"/>
        </w:rPr>
        <w:t>-</w:t>
      </w:r>
      <w:r w:rsidRPr="00431BA7">
        <w:rPr>
          <w:sz w:val="24"/>
          <w:szCs w:val="24"/>
        </w:rPr>
        <w:t xml:space="preserve">0046; </w:t>
      </w:r>
      <w:r w:rsidR="00342957" w:rsidRPr="00431BA7">
        <w:rPr>
          <w:sz w:val="24"/>
          <w:szCs w:val="24"/>
        </w:rPr>
        <w:t>-</w:t>
      </w:r>
      <w:r w:rsidRPr="00431BA7">
        <w:rPr>
          <w:sz w:val="24"/>
          <w:szCs w:val="24"/>
        </w:rPr>
        <w:t>0044</w:t>
      </w:r>
      <w:r w:rsidR="00607C87" w:rsidRPr="00431BA7">
        <w:rPr>
          <w:sz w:val="24"/>
          <w:szCs w:val="24"/>
        </w:rPr>
        <w:t xml:space="preserve">; </w:t>
      </w:r>
      <w:r w:rsidR="00342957" w:rsidRPr="00431BA7">
        <w:rPr>
          <w:sz w:val="24"/>
          <w:szCs w:val="24"/>
        </w:rPr>
        <w:t>-</w:t>
      </w:r>
      <w:r w:rsidR="00607C87" w:rsidRPr="00431BA7">
        <w:rPr>
          <w:sz w:val="24"/>
          <w:szCs w:val="24"/>
        </w:rPr>
        <w:t>0053</w:t>
      </w:r>
    </w:p>
    <w:p w14:paraId="3E282AD4" w14:textId="1CA70713" w:rsidR="005E32A0" w:rsidRPr="00431BA7" w:rsidRDefault="00060C02" w:rsidP="000140FB">
      <w:pPr>
        <w:rPr>
          <w:sz w:val="24"/>
          <w:szCs w:val="24"/>
        </w:rPr>
      </w:pPr>
      <w:r w:rsidRPr="00431BA7">
        <w:rPr>
          <w:b/>
          <w:iCs/>
          <w:sz w:val="24"/>
          <w:szCs w:val="24"/>
        </w:rPr>
        <w:t>Response</w:t>
      </w:r>
      <w:r w:rsidR="008F64D9" w:rsidRPr="00431BA7">
        <w:rPr>
          <w:b/>
          <w:iCs/>
          <w:sz w:val="24"/>
          <w:szCs w:val="24"/>
        </w:rPr>
        <w:t>:</w:t>
      </w:r>
      <w:r w:rsidR="008F64D9" w:rsidRPr="00431BA7">
        <w:rPr>
          <w:b/>
          <w:i/>
          <w:sz w:val="24"/>
          <w:szCs w:val="24"/>
        </w:rPr>
        <w:t xml:space="preserve"> </w:t>
      </w:r>
      <w:r w:rsidR="008F64D9" w:rsidRPr="00431BA7">
        <w:rPr>
          <w:b/>
          <w:sz w:val="24"/>
          <w:szCs w:val="24"/>
        </w:rPr>
        <w:t xml:space="preserve"> </w:t>
      </w:r>
      <w:r w:rsidR="004C6C51" w:rsidRPr="00431BA7">
        <w:rPr>
          <w:bCs/>
          <w:sz w:val="24"/>
          <w:szCs w:val="24"/>
        </w:rPr>
        <w:t>This comment is beyond the scope of the rulemaking</w:t>
      </w:r>
      <w:r w:rsidR="00942001" w:rsidRPr="00431BA7">
        <w:rPr>
          <w:bCs/>
          <w:sz w:val="24"/>
          <w:szCs w:val="24"/>
        </w:rPr>
        <w:t>. First, this rule does not</w:t>
      </w:r>
      <w:r w:rsidR="00025B20" w:rsidRPr="00431BA7">
        <w:rPr>
          <w:bCs/>
          <w:sz w:val="24"/>
          <w:szCs w:val="24"/>
        </w:rPr>
        <w:t xml:space="preserve"> limit when</w:t>
      </w:r>
      <w:r w:rsidR="00F77862" w:rsidRPr="00431BA7">
        <w:rPr>
          <w:bCs/>
          <w:sz w:val="24"/>
          <w:szCs w:val="24"/>
        </w:rPr>
        <w:t xml:space="preserve"> chemic</w:t>
      </w:r>
      <w:r w:rsidR="009076D8" w:rsidRPr="00431BA7">
        <w:rPr>
          <w:bCs/>
          <w:sz w:val="24"/>
          <w:szCs w:val="24"/>
        </w:rPr>
        <w:t xml:space="preserve">al identity in a health and safety study may be claimed as </w:t>
      </w:r>
      <w:r w:rsidR="00800AF4" w:rsidRPr="00431BA7">
        <w:rPr>
          <w:bCs/>
          <w:sz w:val="24"/>
          <w:szCs w:val="24"/>
        </w:rPr>
        <w:t>CBI</w:t>
      </w:r>
      <w:r w:rsidR="00690CB4" w:rsidRPr="00431BA7">
        <w:rPr>
          <w:bCs/>
          <w:sz w:val="24"/>
          <w:szCs w:val="24"/>
        </w:rPr>
        <w:t xml:space="preserve"> (although it does address the </w:t>
      </w:r>
      <w:r w:rsidR="00170DF9" w:rsidRPr="00431BA7">
        <w:rPr>
          <w:bCs/>
          <w:sz w:val="24"/>
          <w:szCs w:val="24"/>
        </w:rPr>
        <w:t>review of such claims</w:t>
      </w:r>
      <w:r w:rsidR="00DB1C8E" w:rsidRPr="00431BA7">
        <w:rPr>
          <w:bCs/>
          <w:sz w:val="24"/>
          <w:szCs w:val="24"/>
        </w:rPr>
        <w:t>)</w:t>
      </w:r>
      <w:r w:rsidR="00170DF9" w:rsidRPr="00431BA7">
        <w:rPr>
          <w:bCs/>
          <w:sz w:val="24"/>
          <w:szCs w:val="24"/>
        </w:rPr>
        <w:t>. Second</w:t>
      </w:r>
      <w:r w:rsidR="00EF35FB" w:rsidRPr="00431BA7">
        <w:rPr>
          <w:bCs/>
          <w:sz w:val="24"/>
          <w:szCs w:val="24"/>
        </w:rPr>
        <w:t>,</w:t>
      </w:r>
      <w:r w:rsidR="00161202" w:rsidRPr="00431BA7">
        <w:rPr>
          <w:bCs/>
          <w:sz w:val="24"/>
          <w:szCs w:val="24"/>
        </w:rPr>
        <w:t xml:space="preserve"> the rulemaking</w:t>
      </w:r>
      <w:r w:rsidR="00D27E65" w:rsidRPr="00431BA7">
        <w:rPr>
          <w:bCs/>
          <w:sz w:val="24"/>
          <w:szCs w:val="24"/>
        </w:rPr>
        <w:t xml:space="preserve"> concerns ho</w:t>
      </w:r>
      <w:r w:rsidR="00AF5773" w:rsidRPr="00431BA7">
        <w:rPr>
          <w:bCs/>
          <w:sz w:val="24"/>
          <w:szCs w:val="24"/>
        </w:rPr>
        <w:t xml:space="preserve">w information claimed as </w:t>
      </w:r>
      <w:r w:rsidR="00DB1C8E" w:rsidRPr="00431BA7">
        <w:rPr>
          <w:bCs/>
          <w:sz w:val="24"/>
          <w:szCs w:val="24"/>
        </w:rPr>
        <w:t>CBI</w:t>
      </w:r>
      <w:r w:rsidR="00AF5773" w:rsidRPr="00431BA7">
        <w:rPr>
          <w:bCs/>
          <w:sz w:val="24"/>
          <w:szCs w:val="24"/>
        </w:rPr>
        <w:t xml:space="preserve"> is </w:t>
      </w:r>
      <w:r w:rsidR="00D6773F" w:rsidRPr="00431BA7">
        <w:rPr>
          <w:bCs/>
          <w:sz w:val="24"/>
          <w:szCs w:val="24"/>
        </w:rPr>
        <w:t xml:space="preserve">asserted and treated, </w:t>
      </w:r>
      <w:r w:rsidR="00B13AEB" w:rsidRPr="00431BA7">
        <w:rPr>
          <w:bCs/>
          <w:sz w:val="24"/>
          <w:szCs w:val="24"/>
        </w:rPr>
        <w:t xml:space="preserve">not </w:t>
      </w:r>
      <w:r w:rsidR="004E515F" w:rsidRPr="00431BA7">
        <w:rPr>
          <w:bCs/>
          <w:sz w:val="24"/>
          <w:szCs w:val="24"/>
        </w:rPr>
        <w:t xml:space="preserve">what information is required to be submitted in a health and safety study. </w:t>
      </w:r>
    </w:p>
    <w:p w14:paraId="29FDFA80" w14:textId="446C97AA" w:rsidR="00805C2E" w:rsidRPr="00431BA7" w:rsidRDefault="00805C2E" w:rsidP="006F1BB3">
      <w:pPr>
        <w:pStyle w:val="Heading2"/>
        <w:numPr>
          <w:ilvl w:val="0"/>
          <w:numId w:val="0"/>
        </w:numPr>
        <w:ind w:left="360" w:hanging="360"/>
      </w:pPr>
      <w:bookmarkStart w:id="10" w:name="_Toc132901183"/>
      <w:bookmarkEnd w:id="7"/>
      <w:r w:rsidRPr="00431BA7">
        <w:t xml:space="preserve">Unit </w:t>
      </w:r>
      <w:r w:rsidR="00E401BF" w:rsidRPr="00431BA7">
        <w:t>5</w:t>
      </w:r>
      <w:r w:rsidRPr="00431BA7">
        <w:t>: Requirement to assert claims at the time of submission; knowledge of chemical</w:t>
      </w:r>
      <w:r w:rsidR="002B0EFF" w:rsidRPr="00431BA7">
        <w:t xml:space="preserve"> </w:t>
      </w:r>
      <w:r w:rsidRPr="00431BA7">
        <w:t>identity (</w:t>
      </w:r>
      <w:r w:rsidR="0015207F" w:rsidRPr="00431BA7">
        <w:t xml:space="preserve">40 CFR </w:t>
      </w:r>
      <w:r w:rsidRPr="00431BA7">
        <w:t>703.5)</w:t>
      </w:r>
      <w:bookmarkEnd w:id="10"/>
    </w:p>
    <w:p w14:paraId="1B309E6B" w14:textId="2F2F9E58" w:rsidR="005F0D87" w:rsidRPr="00431BA7" w:rsidRDefault="00BE6FDE" w:rsidP="00FD4B7F">
      <w:pPr>
        <w:rPr>
          <w:rFonts w:ascii="Calibri" w:eastAsia="Calibri" w:hAnsi="Calibri" w:cs="Calibri"/>
          <w:sz w:val="24"/>
          <w:szCs w:val="24"/>
        </w:rPr>
      </w:pPr>
      <w:r w:rsidRPr="00431BA7">
        <w:rPr>
          <w:rFonts w:cstheme="minorHAnsi"/>
          <w:b/>
          <w:iCs/>
          <w:sz w:val="24"/>
          <w:szCs w:val="24"/>
        </w:rPr>
        <w:t>Comment:</w:t>
      </w:r>
      <w:r w:rsidRPr="00431BA7">
        <w:rPr>
          <w:rFonts w:cstheme="minorHAnsi"/>
          <w:b/>
          <w:bCs/>
          <w:i/>
          <w:iCs/>
          <w:sz w:val="24"/>
          <w:szCs w:val="24"/>
        </w:rPr>
        <w:t xml:space="preserve">  </w:t>
      </w:r>
      <w:r w:rsidRPr="00431BA7">
        <w:rPr>
          <w:rFonts w:cstheme="minorHAnsi"/>
          <w:sz w:val="24"/>
          <w:szCs w:val="24"/>
        </w:rPr>
        <w:t xml:space="preserve">Several commenters raised concerns with a provision of proposed </w:t>
      </w:r>
      <w:r w:rsidR="0015207F" w:rsidRPr="00431BA7">
        <w:rPr>
          <w:rFonts w:cstheme="minorHAnsi"/>
          <w:sz w:val="24"/>
          <w:szCs w:val="24"/>
        </w:rPr>
        <w:t xml:space="preserve">40 CFR </w:t>
      </w:r>
      <w:r w:rsidRPr="00431BA7">
        <w:rPr>
          <w:rFonts w:cstheme="minorHAnsi"/>
          <w:sz w:val="24"/>
          <w:szCs w:val="24"/>
        </w:rPr>
        <w:t xml:space="preserve">703.5, that “If no such [CBI] claim accompanies the submission, EPA will not recognize a confidentiality </w:t>
      </w:r>
      <w:r w:rsidRPr="00431BA7">
        <w:rPr>
          <w:rFonts w:cstheme="minorHAnsi"/>
          <w:sz w:val="24"/>
          <w:szCs w:val="24"/>
        </w:rPr>
        <w:lastRenderedPageBreak/>
        <w:t xml:space="preserve">claim, and the information in or referred to in that submission may be made available to the public (e.g., by publication of specific chemical name and CASRN on the public portion of the TSCA Inventory) without further notice.” </w:t>
      </w:r>
      <w:r w:rsidR="004E099F" w:rsidRPr="00431BA7">
        <w:rPr>
          <w:rFonts w:cstheme="minorHAnsi"/>
          <w:sz w:val="24"/>
          <w:szCs w:val="24"/>
        </w:rPr>
        <w:t xml:space="preserve">Some commenters </w:t>
      </w:r>
      <w:r w:rsidR="003B263D" w:rsidRPr="00431BA7">
        <w:rPr>
          <w:rFonts w:cstheme="minorHAnsi"/>
          <w:sz w:val="24"/>
          <w:szCs w:val="24"/>
        </w:rPr>
        <w:t xml:space="preserve">raised concerns that </w:t>
      </w:r>
      <w:r w:rsidR="00952B20" w:rsidRPr="00431BA7">
        <w:rPr>
          <w:rFonts w:cstheme="minorHAnsi"/>
          <w:sz w:val="24"/>
          <w:szCs w:val="24"/>
        </w:rPr>
        <w:t>multiple stakeholders may hav</w:t>
      </w:r>
      <w:r w:rsidR="00952B20" w:rsidRPr="00431BA7">
        <w:rPr>
          <w:rFonts w:ascii="Calibri" w:eastAsia="Calibri" w:hAnsi="Calibri" w:cs="Calibri"/>
          <w:sz w:val="24"/>
          <w:szCs w:val="24"/>
        </w:rPr>
        <w:t>e an interest in maintaining</w:t>
      </w:r>
      <w:r w:rsidR="00532A7B" w:rsidRPr="00431BA7">
        <w:rPr>
          <w:rFonts w:ascii="Calibri" w:eastAsia="Calibri" w:hAnsi="Calibri" w:cs="Calibri"/>
          <w:sz w:val="24"/>
          <w:szCs w:val="24"/>
        </w:rPr>
        <w:t xml:space="preserve"> </w:t>
      </w:r>
      <w:r w:rsidR="00952B20" w:rsidRPr="00431BA7">
        <w:rPr>
          <w:rFonts w:ascii="Calibri" w:eastAsia="Calibri" w:hAnsi="Calibri" w:cs="Calibri"/>
          <w:sz w:val="24"/>
          <w:szCs w:val="24"/>
        </w:rPr>
        <w:t>the confidentiality of a specific chemical identity</w:t>
      </w:r>
      <w:r w:rsidR="00532A7B" w:rsidRPr="00431BA7">
        <w:rPr>
          <w:rFonts w:ascii="Calibri" w:eastAsia="Calibri" w:hAnsi="Calibri" w:cs="Calibri"/>
          <w:sz w:val="24"/>
          <w:szCs w:val="24"/>
        </w:rPr>
        <w:t>, even though</w:t>
      </w:r>
      <w:r w:rsidR="00952B20" w:rsidRPr="00431BA7">
        <w:rPr>
          <w:rFonts w:ascii="Calibri" w:eastAsia="Calibri" w:hAnsi="Calibri" w:cs="Calibri"/>
          <w:sz w:val="24"/>
          <w:szCs w:val="24"/>
        </w:rPr>
        <w:t xml:space="preserve"> one stakeholder may believe that</w:t>
      </w:r>
      <w:r w:rsidR="00532A7B" w:rsidRPr="00431BA7">
        <w:rPr>
          <w:rFonts w:ascii="Calibri" w:eastAsia="Calibri" w:hAnsi="Calibri" w:cs="Calibri"/>
          <w:sz w:val="24"/>
          <w:szCs w:val="24"/>
        </w:rPr>
        <w:t xml:space="preserve"> </w:t>
      </w:r>
      <w:r w:rsidR="00952B20" w:rsidRPr="00431BA7">
        <w:rPr>
          <w:rFonts w:ascii="Calibri" w:eastAsia="Calibri" w:hAnsi="Calibri" w:cs="Calibri"/>
          <w:sz w:val="24"/>
          <w:szCs w:val="24"/>
        </w:rPr>
        <w:t xml:space="preserve">confidential treatment is no longer needed, or </w:t>
      </w:r>
      <w:r w:rsidR="00236C4D" w:rsidRPr="00431BA7">
        <w:rPr>
          <w:rFonts w:ascii="Calibri" w:eastAsia="Calibri" w:hAnsi="Calibri" w:cs="Calibri"/>
          <w:sz w:val="24"/>
          <w:szCs w:val="24"/>
        </w:rPr>
        <w:t xml:space="preserve">not </w:t>
      </w:r>
      <w:r w:rsidR="00952B20" w:rsidRPr="00431BA7">
        <w:rPr>
          <w:rFonts w:ascii="Calibri" w:eastAsia="Calibri" w:hAnsi="Calibri" w:cs="Calibri"/>
          <w:sz w:val="24"/>
          <w:szCs w:val="24"/>
        </w:rPr>
        <w:t xml:space="preserve">be aware that the substance has been the subject </w:t>
      </w:r>
      <w:r w:rsidR="00FD4B7F" w:rsidRPr="00431BA7">
        <w:rPr>
          <w:rFonts w:ascii="Calibri" w:eastAsia="Calibri" w:hAnsi="Calibri" w:cs="Calibri"/>
          <w:sz w:val="24"/>
          <w:szCs w:val="24"/>
        </w:rPr>
        <w:t>of a CBI claim</w:t>
      </w:r>
      <w:r w:rsidR="00471B0C" w:rsidRPr="00431BA7">
        <w:rPr>
          <w:rFonts w:ascii="Calibri" w:eastAsia="Calibri" w:hAnsi="Calibri" w:cs="Calibri"/>
          <w:sz w:val="24"/>
          <w:szCs w:val="24"/>
        </w:rPr>
        <w:t xml:space="preserve">. </w:t>
      </w:r>
      <w:r w:rsidR="008069D9" w:rsidRPr="00431BA7">
        <w:rPr>
          <w:rFonts w:ascii="Calibri" w:eastAsia="Calibri" w:hAnsi="Calibri" w:cs="Calibri"/>
          <w:sz w:val="24"/>
          <w:szCs w:val="24"/>
        </w:rPr>
        <w:t>Some of these</w:t>
      </w:r>
      <w:r w:rsidR="00471B0C" w:rsidRPr="00431BA7">
        <w:rPr>
          <w:rFonts w:ascii="Calibri" w:eastAsia="Calibri" w:hAnsi="Calibri" w:cs="Calibri"/>
          <w:sz w:val="24"/>
          <w:szCs w:val="24"/>
        </w:rPr>
        <w:t xml:space="preserve"> </w:t>
      </w:r>
      <w:proofErr w:type="gramStart"/>
      <w:r w:rsidR="00471B0C" w:rsidRPr="00431BA7">
        <w:rPr>
          <w:rFonts w:ascii="Calibri" w:eastAsia="Calibri" w:hAnsi="Calibri" w:cs="Calibri"/>
          <w:sz w:val="24"/>
          <w:szCs w:val="24"/>
        </w:rPr>
        <w:t>commenters</w:t>
      </w:r>
      <w:proofErr w:type="gramEnd"/>
      <w:r w:rsidR="00471B0C" w:rsidRPr="00431BA7">
        <w:rPr>
          <w:rFonts w:ascii="Calibri" w:eastAsia="Calibri" w:hAnsi="Calibri" w:cs="Calibri"/>
          <w:sz w:val="24"/>
          <w:szCs w:val="24"/>
        </w:rPr>
        <w:t xml:space="preserve"> </w:t>
      </w:r>
      <w:r w:rsidR="002200C1" w:rsidRPr="00431BA7">
        <w:rPr>
          <w:rFonts w:ascii="Calibri" w:eastAsia="Calibri" w:hAnsi="Calibri" w:cs="Calibri"/>
          <w:sz w:val="24"/>
          <w:szCs w:val="24"/>
        </w:rPr>
        <w:t xml:space="preserve">state that in such circumstances </w:t>
      </w:r>
      <w:r w:rsidR="00FD4B7F" w:rsidRPr="00431BA7">
        <w:rPr>
          <w:rFonts w:ascii="Calibri" w:eastAsia="Calibri" w:hAnsi="Calibri" w:cs="Calibri"/>
          <w:sz w:val="24"/>
          <w:szCs w:val="24"/>
        </w:rPr>
        <w:t>EPA must not determine that</w:t>
      </w:r>
      <w:r w:rsidR="00532A7B" w:rsidRPr="00431BA7">
        <w:rPr>
          <w:rFonts w:ascii="Calibri" w:eastAsia="Calibri" w:hAnsi="Calibri" w:cs="Calibri"/>
          <w:sz w:val="24"/>
          <w:szCs w:val="24"/>
        </w:rPr>
        <w:t xml:space="preserve"> </w:t>
      </w:r>
      <w:r w:rsidR="00FD4B7F" w:rsidRPr="00431BA7">
        <w:rPr>
          <w:rFonts w:ascii="Calibri" w:eastAsia="Calibri" w:hAnsi="Calibri" w:cs="Calibri"/>
          <w:sz w:val="24"/>
          <w:szCs w:val="24"/>
        </w:rPr>
        <w:t>confidential treatment of an identity will be lifted on the basis of one entity’s submission when</w:t>
      </w:r>
      <w:r w:rsidR="00532A7B" w:rsidRPr="00431BA7">
        <w:rPr>
          <w:rFonts w:ascii="Calibri" w:eastAsia="Calibri" w:hAnsi="Calibri" w:cs="Calibri"/>
          <w:sz w:val="24"/>
          <w:szCs w:val="24"/>
        </w:rPr>
        <w:t xml:space="preserve"> </w:t>
      </w:r>
      <w:r w:rsidR="00FD4B7F" w:rsidRPr="00431BA7">
        <w:rPr>
          <w:rFonts w:ascii="Calibri" w:eastAsia="Calibri" w:hAnsi="Calibri" w:cs="Calibri"/>
          <w:sz w:val="24"/>
          <w:szCs w:val="24"/>
        </w:rPr>
        <w:t xml:space="preserve">other entities have a stake in the matter. </w:t>
      </w:r>
      <w:r w:rsidR="008069D9" w:rsidRPr="00431BA7">
        <w:rPr>
          <w:rFonts w:ascii="Calibri" w:eastAsia="Calibri" w:hAnsi="Calibri" w:cs="Calibri"/>
          <w:sz w:val="24"/>
          <w:szCs w:val="24"/>
        </w:rPr>
        <w:t>A few advocated that</w:t>
      </w:r>
      <w:r w:rsidR="00C66B6C" w:rsidRPr="00431BA7">
        <w:rPr>
          <w:rFonts w:ascii="Calibri" w:eastAsia="Calibri" w:hAnsi="Calibri" w:cs="Calibri"/>
          <w:sz w:val="24"/>
          <w:szCs w:val="24"/>
        </w:rPr>
        <w:t xml:space="preserve"> </w:t>
      </w:r>
      <w:r w:rsidR="00C66B6C" w:rsidRPr="00431BA7">
        <w:rPr>
          <w:rFonts w:cstheme="minorHAnsi"/>
          <w:sz w:val="24"/>
          <w:szCs w:val="24"/>
        </w:rPr>
        <w:t>late and third-party claims should be permitted in certain cases where a submitter fails to make a claim at all, fails to make an adequate claim, or at any point prior to actual disclosure of the information.</w:t>
      </w:r>
      <w:r w:rsidR="000E3C59" w:rsidRPr="00431BA7">
        <w:rPr>
          <w:rFonts w:cstheme="minorHAnsi"/>
          <w:sz w:val="24"/>
          <w:szCs w:val="24"/>
        </w:rPr>
        <w:t xml:space="preserve">  </w:t>
      </w:r>
    </w:p>
    <w:p w14:paraId="41F4AA34" w14:textId="55157E7D" w:rsidR="005F0D87" w:rsidRPr="00431BA7" w:rsidRDefault="00532A7B" w:rsidP="00FD4B7F">
      <w:pPr>
        <w:rPr>
          <w:rFonts w:cstheme="minorHAnsi"/>
          <w:sz w:val="24"/>
          <w:szCs w:val="24"/>
        </w:rPr>
      </w:pPr>
      <w:r w:rsidRPr="00431BA7">
        <w:rPr>
          <w:rFonts w:ascii="Calibri" w:eastAsia="Calibri" w:hAnsi="Calibri" w:cs="Calibri"/>
          <w:sz w:val="24"/>
          <w:szCs w:val="24"/>
        </w:rPr>
        <w:t>Additionally,</w:t>
      </w:r>
      <w:r w:rsidR="00BC6841" w:rsidRPr="00431BA7">
        <w:rPr>
          <w:rFonts w:ascii="Calibri" w:eastAsia="Calibri" w:hAnsi="Calibri" w:cs="Calibri"/>
          <w:sz w:val="24"/>
          <w:szCs w:val="24"/>
        </w:rPr>
        <w:t xml:space="preserve"> </w:t>
      </w:r>
      <w:r w:rsidR="008069D9" w:rsidRPr="00431BA7">
        <w:rPr>
          <w:rFonts w:ascii="Calibri" w:eastAsia="Calibri" w:hAnsi="Calibri" w:cs="Calibri"/>
          <w:sz w:val="24"/>
          <w:szCs w:val="24"/>
        </w:rPr>
        <w:t xml:space="preserve">three </w:t>
      </w:r>
      <w:r w:rsidR="00BE6FDE" w:rsidRPr="00431BA7">
        <w:rPr>
          <w:rFonts w:ascii="Calibri" w:eastAsia="Calibri" w:hAnsi="Calibri" w:cs="Calibri"/>
          <w:sz w:val="24"/>
          <w:szCs w:val="24"/>
        </w:rPr>
        <w:t>commenters were specifically concerned that persons might r</w:t>
      </w:r>
      <w:r w:rsidR="00BE6FDE" w:rsidRPr="00431BA7">
        <w:rPr>
          <w:rFonts w:cstheme="minorHAnsi"/>
          <w:sz w:val="24"/>
          <w:szCs w:val="24"/>
        </w:rPr>
        <w:t xml:space="preserve">eport a substance using the accession number while being ignorant of the </w:t>
      </w:r>
      <w:r w:rsidR="00236C4D" w:rsidRPr="00431BA7">
        <w:rPr>
          <w:rFonts w:cstheme="minorHAnsi"/>
          <w:sz w:val="24"/>
          <w:szCs w:val="24"/>
        </w:rPr>
        <w:t xml:space="preserve">underlying </w:t>
      </w:r>
      <w:r w:rsidR="00BE6FDE" w:rsidRPr="00431BA7">
        <w:rPr>
          <w:rFonts w:cstheme="minorHAnsi"/>
          <w:sz w:val="24"/>
          <w:szCs w:val="24"/>
        </w:rPr>
        <w:t>specific chemical identity, and then not assert and support a CBI claim for that substance in their submission.</w:t>
      </w:r>
      <w:r w:rsidR="00BC6841" w:rsidRPr="00431BA7">
        <w:rPr>
          <w:rFonts w:cstheme="minorHAnsi"/>
          <w:sz w:val="24"/>
          <w:szCs w:val="24"/>
        </w:rPr>
        <w:t xml:space="preserve"> </w:t>
      </w:r>
    </w:p>
    <w:p w14:paraId="482408F0" w14:textId="18C2CAC4" w:rsidR="00BE6FDE" w:rsidRPr="00431BA7" w:rsidRDefault="008069D9" w:rsidP="00FD4B7F">
      <w:pPr>
        <w:rPr>
          <w:rFonts w:cstheme="minorHAnsi"/>
          <w:sz w:val="24"/>
          <w:szCs w:val="24"/>
        </w:rPr>
      </w:pPr>
      <w:r w:rsidRPr="00431BA7">
        <w:rPr>
          <w:rFonts w:cstheme="minorHAnsi"/>
          <w:sz w:val="24"/>
          <w:szCs w:val="24"/>
        </w:rPr>
        <w:t>One c</w:t>
      </w:r>
      <w:r w:rsidR="00BC6841" w:rsidRPr="00431BA7">
        <w:rPr>
          <w:rFonts w:cstheme="minorHAnsi"/>
          <w:sz w:val="24"/>
          <w:szCs w:val="24"/>
        </w:rPr>
        <w:t>ommenter w</w:t>
      </w:r>
      <w:r w:rsidRPr="00431BA7">
        <w:rPr>
          <w:rFonts w:cstheme="minorHAnsi"/>
          <w:sz w:val="24"/>
          <w:szCs w:val="24"/>
        </w:rPr>
        <w:t>as</w:t>
      </w:r>
      <w:r w:rsidR="00BC6841" w:rsidRPr="00431BA7">
        <w:rPr>
          <w:rFonts w:cstheme="minorHAnsi"/>
          <w:sz w:val="24"/>
          <w:szCs w:val="24"/>
        </w:rPr>
        <w:t xml:space="preserve"> also concerned that disclosure without notice would be a violation of the TSCA notice requirements at TSCA section 14(g)(2)(A).</w:t>
      </w:r>
      <w:r w:rsidR="000E3C59" w:rsidRPr="00431BA7">
        <w:rPr>
          <w:rFonts w:cstheme="minorHAnsi"/>
          <w:sz w:val="24"/>
          <w:szCs w:val="24"/>
        </w:rPr>
        <w:t xml:space="preserve"> </w:t>
      </w:r>
    </w:p>
    <w:p w14:paraId="034786FB" w14:textId="7F59E424" w:rsidR="00047F7A" w:rsidRPr="00431BA7" w:rsidRDefault="00047F7A" w:rsidP="00FD4B7F">
      <w:pPr>
        <w:rPr>
          <w:rFonts w:cstheme="minorHAnsi"/>
          <w:sz w:val="24"/>
          <w:szCs w:val="24"/>
        </w:rPr>
      </w:pPr>
      <w:r w:rsidRPr="00431BA7">
        <w:rPr>
          <w:rFonts w:cstheme="minorHAnsi"/>
          <w:sz w:val="24"/>
          <w:szCs w:val="24"/>
        </w:rPr>
        <w:t xml:space="preserve">Source: </w:t>
      </w:r>
      <w:r w:rsidR="00342957" w:rsidRPr="00431BA7">
        <w:rPr>
          <w:rFonts w:cstheme="minorHAnsi"/>
          <w:sz w:val="24"/>
          <w:szCs w:val="24"/>
        </w:rPr>
        <w:t>-</w:t>
      </w:r>
      <w:r w:rsidRPr="00431BA7">
        <w:rPr>
          <w:rFonts w:cstheme="minorHAnsi"/>
          <w:sz w:val="24"/>
          <w:szCs w:val="24"/>
        </w:rPr>
        <w:t xml:space="preserve">0044; </w:t>
      </w:r>
      <w:r w:rsidR="00342957" w:rsidRPr="00431BA7">
        <w:rPr>
          <w:rFonts w:cstheme="minorHAnsi"/>
          <w:sz w:val="24"/>
          <w:szCs w:val="24"/>
        </w:rPr>
        <w:t>-</w:t>
      </w:r>
      <w:r w:rsidRPr="00431BA7">
        <w:rPr>
          <w:rFonts w:cstheme="minorHAnsi"/>
          <w:sz w:val="24"/>
          <w:szCs w:val="24"/>
        </w:rPr>
        <w:t xml:space="preserve">0051; </w:t>
      </w:r>
      <w:r w:rsidR="00342957" w:rsidRPr="00431BA7">
        <w:rPr>
          <w:rFonts w:cstheme="minorHAnsi"/>
          <w:sz w:val="24"/>
          <w:szCs w:val="24"/>
        </w:rPr>
        <w:t>-</w:t>
      </w:r>
      <w:r w:rsidRPr="00431BA7">
        <w:rPr>
          <w:rFonts w:cstheme="minorHAnsi"/>
          <w:sz w:val="24"/>
          <w:szCs w:val="24"/>
        </w:rPr>
        <w:t>0041</w:t>
      </w:r>
      <w:r w:rsidR="00607C87" w:rsidRPr="00431BA7">
        <w:rPr>
          <w:rFonts w:cstheme="minorHAnsi"/>
          <w:sz w:val="24"/>
          <w:szCs w:val="24"/>
        </w:rPr>
        <w:t xml:space="preserve">; </w:t>
      </w:r>
      <w:r w:rsidR="00342957" w:rsidRPr="00431BA7">
        <w:rPr>
          <w:rFonts w:cstheme="minorHAnsi"/>
          <w:sz w:val="24"/>
          <w:szCs w:val="24"/>
        </w:rPr>
        <w:t>-</w:t>
      </w:r>
      <w:r w:rsidR="00607C87" w:rsidRPr="00431BA7">
        <w:rPr>
          <w:rFonts w:cstheme="minorHAnsi"/>
          <w:sz w:val="24"/>
          <w:szCs w:val="24"/>
        </w:rPr>
        <w:t xml:space="preserve">0045; </w:t>
      </w:r>
      <w:r w:rsidR="00342957" w:rsidRPr="00431BA7">
        <w:rPr>
          <w:rFonts w:cstheme="minorHAnsi"/>
          <w:sz w:val="24"/>
          <w:szCs w:val="24"/>
        </w:rPr>
        <w:t>-</w:t>
      </w:r>
      <w:r w:rsidR="00607C87" w:rsidRPr="00431BA7">
        <w:rPr>
          <w:rFonts w:cstheme="minorHAnsi"/>
          <w:sz w:val="24"/>
          <w:szCs w:val="24"/>
        </w:rPr>
        <w:t xml:space="preserve">0052; </w:t>
      </w:r>
      <w:r w:rsidR="00342957" w:rsidRPr="00431BA7">
        <w:rPr>
          <w:rFonts w:cstheme="minorHAnsi"/>
          <w:sz w:val="24"/>
          <w:szCs w:val="24"/>
        </w:rPr>
        <w:t>-</w:t>
      </w:r>
      <w:r w:rsidR="00607C87" w:rsidRPr="00431BA7">
        <w:rPr>
          <w:rFonts w:cstheme="minorHAnsi"/>
          <w:sz w:val="24"/>
          <w:szCs w:val="24"/>
        </w:rPr>
        <w:t xml:space="preserve">0047; </w:t>
      </w:r>
      <w:r w:rsidR="00342957" w:rsidRPr="00431BA7">
        <w:rPr>
          <w:rFonts w:cstheme="minorHAnsi"/>
          <w:sz w:val="24"/>
          <w:szCs w:val="24"/>
        </w:rPr>
        <w:t>-</w:t>
      </w:r>
      <w:r w:rsidR="00607C87" w:rsidRPr="00431BA7">
        <w:rPr>
          <w:rFonts w:cstheme="minorHAnsi"/>
          <w:sz w:val="24"/>
          <w:szCs w:val="24"/>
        </w:rPr>
        <w:t>0053</w:t>
      </w:r>
      <w:r w:rsidR="00C66B6C" w:rsidRPr="00431BA7">
        <w:rPr>
          <w:rFonts w:cstheme="minorHAnsi"/>
          <w:sz w:val="24"/>
          <w:szCs w:val="24"/>
        </w:rPr>
        <w:t>; -0054</w:t>
      </w:r>
      <w:r w:rsidRPr="00431BA7">
        <w:rPr>
          <w:rFonts w:cstheme="minorHAnsi"/>
          <w:sz w:val="24"/>
          <w:szCs w:val="24"/>
        </w:rPr>
        <w:t xml:space="preserve"> </w:t>
      </w:r>
    </w:p>
    <w:p w14:paraId="1D0CBA49" w14:textId="19B5131D" w:rsidR="005F0D87" w:rsidRPr="00431BA7" w:rsidRDefault="00BE6FDE" w:rsidP="00BE6FDE">
      <w:pPr>
        <w:rPr>
          <w:sz w:val="24"/>
          <w:szCs w:val="24"/>
        </w:rPr>
      </w:pPr>
      <w:r w:rsidRPr="00431BA7">
        <w:rPr>
          <w:rFonts w:cstheme="minorHAnsi"/>
          <w:b/>
          <w:sz w:val="24"/>
          <w:szCs w:val="24"/>
        </w:rPr>
        <w:t>Response</w:t>
      </w:r>
      <w:r w:rsidRPr="00431BA7">
        <w:rPr>
          <w:rFonts w:cstheme="minorHAnsi"/>
          <w:sz w:val="24"/>
          <w:szCs w:val="24"/>
        </w:rPr>
        <w:t xml:space="preserve">:  </w:t>
      </w:r>
      <w:r w:rsidR="005F0D87" w:rsidRPr="00431BA7">
        <w:rPr>
          <w:sz w:val="24"/>
          <w:szCs w:val="24"/>
        </w:rPr>
        <w:t xml:space="preserve">This final CBI procedures rule will continue to require, consistent with </w:t>
      </w:r>
      <w:r w:rsidR="00B6654E" w:rsidRPr="00431BA7">
        <w:rPr>
          <w:sz w:val="24"/>
          <w:szCs w:val="24"/>
        </w:rPr>
        <w:t xml:space="preserve">TSCA </w:t>
      </w:r>
      <w:r w:rsidR="005F0D87" w:rsidRPr="00431BA7">
        <w:rPr>
          <w:sz w:val="24"/>
          <w:szCs w:val="24"/>
        </w:rPr>
        <w:t xml:space="preserve">section 14(c)(3), that CBI claims be asserted and substantiated in accordance with the applicable reporting rule, including claims for specific chemical identity, and that any information reported without such a claim would be subject to public release without further notice.  </w:t>
      </w:r>
    </w:p>
    <w:p w14:paraId="572225F2" w14:textId="77777777" w:rsidR="00236C4D" w:rsidRPr="00431BA7" w:rsidRDefault="00AD2F9F" w:rsidP="00BE6FDE">
      <w:pPr>
        <w:rPr>
          <w:rFonts w:cstheme="minorHAnsi"/>
          <w:sz w:val="24"/>
          <w:szCs w:val="24"/>
        </w:rPr>
      </w:pPr>
      <w:r w:rsidRPr="00431BA7">
        <w:rPr>
          <w:sz w:val="24"/>
          <w:szCs w:val="24"/>
        </w:rPr>
        <w:t xml:space="preserve">EPA disagrees with the general </w:t>
      </w:r>
      <w:r w:rsidR="003C48F0" w:rsidRPr="00431BA7">
        <w:rPr>
          <w:sz w:val="24"/>
          <w:szCs w:val="24"/>
        </w:rPr>
        <w:t xml:space="preserve">idea </w:t>
      </w:r>
      <w:r w:rsidRPr="00431BA7">
        <w:rPr>
          <w:sz w:val="24"/>
          <w:szCs w:val="24"/>
        </w:rPr>
        <w:t xml:space="preserve">that one company’s </w:t>
      </w:r>
      <w:r w:rsidR="003C48F0" w:rsidRPr="00431BA7">
        <w:rPr>
          <w:sz w:val="24"/>
          <w:szCs w:val="24"/>
        </w:rPr>
        <w:t>decision not to</w:t>
      </w:r>
      <w:r w:rsidR="00204F92" w:rsidRPr="00431BA7">
        <w:rPr>
          <w:sz w:val="24"/>
          <w:szCs w:val="24"/>
        </w:rPr>
        <w:t xml:space="preserve"> maintain or assert a CBI claim for </w:t>
      </w:r>
      <w:r w:rsidR="00E77173" w:rsidRPr="00431BA7">
        <w:rPr>
          <w:sz w:val="24"/>
          <w:szCs w:val="24"/>
        </w:rPr>
        <w:t xml:space="preserve">specific chemical identity </w:t>
      </w:r>
      <w:r w:rsidR="003C48F0" w:rsidRPr="00431BA7">
        <w:rPr>
          <w:sz w:val="24"/>
          <w:szCs w:val="24"/>
        </w:rPr>
        <w:t xml:space="preserve">should not </w:t>
      </w:r>
      <w:r w:rsidR="00FA1D82" w:rsidRPr="00431BA7">
        <w:rPr>
          <w:sz w:val="24"/>
          <w:szCs w:val="24"/>
        </w:rPr>
        <w:t>result in disclosure of the information</w:t>
      </w:r>
      <w:r w:rsidR="009D3E18" w:rsidRPr="00431BA7">
        <w:rPr>
          <w:sz w:val="24"/>
          <w:szCs w:val="24"/>
        </w:rPr>
        <w:t xml:space="preserve"> on the public Inventory</w:t>
      </w:r>
      <w:r w:rsidR="00FA1D82" w:rsidRPr="00431BA7">
        <w:rPr>
          <w:sz w:val="24"/>
          <w:szCs w:val="24"/>
        </w:rPr>
        <w:t xml:space="preserve"> if an</w:t>
      </w:r>
      <w:r w:rsidR="003C48F0" w:rsidRPr="00431BA7">
        <w:rPr>
          <w:sz w:val="24"/>
          <w:szCs w:val="24"/>
        </w:rPr>
        <w:t xml:space="preserve">y </w:t>
      </w:r>
      <w:r w:rsidR="00FA1D82" w:rsidRPr="00431BA7">
        <w:rPr>
          <w:sz w:val="24"/>
          <w:szCs w:val="24"/>
        </w:rPr>
        <w:t xml:space="preserve">other company has asserted a </w:t>
      </w:r>
      <w:r w:rsidR="00A57D0A" w:rsidRPr="00431BA7">
        <w:rPr>
          <w:sz w:val="24"/>
          <w:szCs w:val="24"/>
        </w:rPr>
        <w:t>claim</w:t>
      </w:r>
      <w:r w:rsidR="003C48F0" w:rsidRPr="00431BA7">
        <w:rPr>
          <w:sz w:val="24"/>
          <w:szCs w:val="24"/>
        </w:rPr>
        <w:t xml:space="preserve"> for the same substance</w:t>
      </w:r>
      <w:r w:rsidR="00A57D0A" w:rsidRPr="00431BA7">
        <w:rPr>
          <w:sz w:val="24"/>
          <w:szCs w:val="24"/>
        </w:rPr>
        <w:t xml:space="preserve">. </w:t>
      </w:r>
      <w:r w:rsidR="00C87457" w:rsidRPr="00431BA7">
        <w:rPr>
          <w:sz w:val="24"/>
          <w:szCs w:val="24"/>
        </w:rPr>
        <w:t>A substance’s e</w:t>
      </w:r>
      <w:r w:rsidR="00716E52" w:rsidRPr="00431BA7">
        <w:rPr>
          <w:sz w:val="24"/>
          <w:szCs w:val="24"/>
        </w:rPr>
        <w:t xml:space="preserve">ligibility </w:t>
      </w:r>
      <w:r w:rsidR="002C07D4" w:rsidRPr="00431BA7">
        <w:rPr>
          <w:sz w:val="24"/>
          <w:szCs w:val="24"/>
        </w:rPr>
        <w:t>to remain on the</w:t>
      </w:r>
      <w:r w:rsidR="00716E52" w:rsidRPr="00431BA7">
        <w:rPr>
          <w:sz w:val="24"/>
          <w:szCs w:val="24"/>
        </w:rPr>
        <w:t xml:space="preserve"> confidential Inventory depends on</w:t>
      </w:r>
      <w:r w:rsidR="00C87457" w:rsidRPr="00431BA7">
        <w:rPr>
          <w:sz w:val="24"/>
          <w:szCs w:val="24"/>
        </w:rPr>
        <w:t xml:space="preserve"> each manufacturer and processor of the substance</w:t>
      </w:r>
      <w:r w:rsidR="00716E52" w:rsidRPr="00431BA7">
        <w:rPr>
          <w:sz w:val="24"/>
          <w:szCs w:val="24"/>
        </w:rPr>
        <w:t xml:space="preserve"> </w:t>
      </w:r>
      <w:r w:rsidR="002C07D4" w:rsidRPr="00431BA7">
        <w:rPr>
          <w:sz w:val="24"/>
          <w:szCs w:val="24"/>
        </w:rPr>
        <w:t>keep</w:t>
      </w:r>
      <w:r w:rsidR="000E4725" w:rsidRPr="00431BA7">
        <w:rPr>
          <w:sz w:val="24"/>
          <w:szCs w:val="24"/>
        </w:rPr>
        <w:t>ing</w:t>
      </w:r>
      <w:r w:rsidR="00716E52" w:rsidRPr="00431BA7">
        <w:rPr>
          <w:sz w:val="24"/>
          <w:szCs w:val="24"/>
        </w:rPr>
        <w:t xml:space="preserve"> confidential the fact that anyone manufactures or processes the </w:t>
      </w:r>
      <w:r w:rsidR="000E3385" w:rsidRPr="00431BA7">
        <w:rPr>
          <w:sz w:val="24"/>
          <w:szCs w:val="24"/>
        </w:rPr>
        <w:t xml:space="preserve">chemical </w:t>
      </w:r>
      <w:r w:rsidR="00716E52" w:rsidRPr="00431BA7">
        <w:rPr>
          <w:sz w:val="24"/>
          <w:szCs w:val="24"/>
        </w:rPr>
        <w:t>substance in the United States for a non-exempt commercial purpose.  If any</w:t>
      </w:r>
      <w:r w:rsidR="00F842AC" w:rsidRPr="00431BA7">
        <w:rPr>
          <w:sz w:val="24"/>
          <w:szCs w:val="24"/>
        </w:rPr>
        <w:t xml:space="preserve"> manufacturer or processor of the substance</w:t>
      </w:r>
      <w:r w:rsidR="00716E52" w:rsidRPr="00431BA7">
        <w:rPr>
          <w:sz w:val="24"/>
          <w:szCs w:val="24"/>
        </w:rPr>
        <w:t xml:space="preserve"> </w:t>
      </w:r>
      <w:r w:rsidR="00F842AC" w:rsidRPr="00431BA7">
        <w:rPr>
          <w:sz w:val="24"/>
          <w:szCs w:val="24"/>
        </w:rPr>
        <w:t xml:space="preserve">reports to EPA or otherwise </w:t>
      </w:r>
      <w:r w:rsidR="00C87457" w:rsidRPr="00431BA7">
        <w:rPr>
          <w:sz w:val="24"/>
          <w:szCs w:val="24"/>
        </w:rPr>
        <w:t xml:space="preserve">publicly </w:t>
      </w:r>
      <w:r w:rsidR="00F842AC" w:rsidRPr="00431BA7">
        <w:rPr>
          <w:sz w:val="24"/>
          <w:szCs w:val="24"/>
        </w:rPr>
        <w:t xml:space="preserve">discloses their activity without asserting a CBI claim, the substance is then no longer eligible for confidential Inventory treatment, regardless of what other manufacturers or processors of the substance assert on their own behalf. </w:t>
      </w:r>
      <w:r w:rsidR="00716E52" w:rsidRPr="00431BA7">
        <w:rPr>
          <w:sz w:val="24"/>
          <w:szCs w:val="24"/>
        </w:rPr>
        <w:t xml:space="preserve"> </w:t>
      </w:r>
      <w:r w:rsidR="00C92C72" w:rsidRPr="00431BA7">
        <w:rPr>
          <w:sz w:val="24"/>
          <w:szCs w:val="24"/>
        </w:rPr>
        <w:t>This has been</w:t>
      </w:r>
      <w:r w:rsidR="00AF78CF" w:rsidRPr="00431BA7">
        <w:rPr>
          <w:sz w:val="24"/>
          <w:szCs w:val="24"/>
        </w:rPr>
        <w:t xml:space="preserve"> the</w:t>
      </w:r>
      <w:r w:rsidR="00C92C72" w:rsidRPr="00431BA7">
        <w:rPr>
          <w:sz w:val="24"/>
          <w:szCs w:val="24"/>
        </w:rPr>
        <w:t xml:space="preserve"> EPA position since EPA established the confidential portion of the Inventory.  </w:t>
      </w:r>
      <w:r w:rsidR="00AF78CF" w:rsidRPr="00431BA7">
        <w:rPr>
          <w:rFonts w:cstheme="minorHAnsi"/>
          <w:sz w:val="24"/>
          <w:szCs w:val="24"/>
        </w:rPr>
        <w:t xml:space="preserve">See., </w:t>
      </w:r>
      <w:proofErr w:type="gramStart"/>
      <w:r w:rsidR="00AF78CF" w:rsidRPr="00431BA7">
        <w:rPr>
          <w:rFonts w:cstheme="minorHAnsi"/>
          <w:sz w:val="24"/>
          <w:szCs w:val="24"/>
        </w:rPr>
        <w:t>e.g.</w:t>
      </w:r>
      <w:proofErr w:type="gramEnd"/>
      <w:r w:rsidR="00AF78CF" w:rsidRPr="00431BA7">
        <w:rPr>
          <w:rFonts w:cstheme="minorHAnsi"/>
          <w:sz w:val="24"/>
          <w:szCs w:val="24"/>
        </w:rPr>
        <w:t xml:space="preserve"> 42 FR 64572, 64591 (comment 93; “If any person reports a particular identity and does not claim it as confidential EPA will place the identity on the [public] inventory.”) (December 23, 1977).  </w:t>
      </w:r>
    </w:p>
    <w:p w14:paraId="4172346F" w14:textId="03906FEA" w:rsidR="00D30376" w:rsidRPr="00431BA7" w:rsidRDefault="00B93589" w:rsidP="00BE6FDE">
      <w:pPr>
        <w:rPr>
          <w:sz w:val="24"/>
          <w:szCs w:val="24"/>
        </w:rPr>
      </w:pPr>
      <w:r w:rsidRPr="00431BA7">
        <w:rPr>
          <w:sz w:val="24"/>
          <w:szCs w:val="24"/>
        </w:rPr>
        <w:t xml:space="preserve">Chemical identities are unlike other information, such as yearly production volumes, specific manufacturing processes, </w:t>
      </w:r>
      <w:proofErr w:type="gramStart"/>
      <w:r w:rsidRPr="00431BA7">
        <w:rPr>
          <w:sz w:val="24"/>
          <w:szCs w:val="24"/>
        </w:rPr>
        <w:t>marketing</w:t>
      </w:r>
      <w:proofErr w:type="gramEnd"/>
      <w:r w:rsidRPr="00431BA7">
        <w:rPr>
          <w:sz w:val="24"/>
          <w:szCs w:val="24"/>
        </w:rPr>
        <w:t xml:space="preserve"> and sales information, etc., that are generally unique to individual companies. For example, EPA’s approval of one company’s CBI claim for its </w:t>
      </w:r>
      <w:r w:rsidR="00F842AC" w:rsidRPr="00431BA7">
        <w:rPr>
          <w:sz w:val="24"/>
          <w:szCs w:val="24"/>
        </w:rPr>
        <w:t xml:space="preserve">company identity or </w:t>
      </w:r>
      <w:r w:rsidRPr="00431BA7">
        <w:rPr>
          <w:sz w:val="24"/>
          <w:szCs w:val="24"/>
        </w:rPr>
        <w:t xml:space="preserve">specific production volume would not apply to other companies’ </w:t>
      </w:r>
      <w:r w:rsidR="00F842AC" w:rsidRPr="00431BA7">
        <w:rPr>
          <w:sz w:val="24"/>
          <w:szCs w:val="24"/>
        </w:rPr>
        <w:t xml:space="preserve">identities or </w:t>
      </w:r>
      <w:r w:rsidRPr="00431BA7">
        <w:rPr>
          <w:sz w:val="24"/>
          <w:szCs w:val="24"/>
        </w:rPr>
        <w:lastRenderedPageBreak/>
        <w:t xml:space="preserve">specific production volumes. By contrast, if two companies claim the same specific chemical identity as CBI, and one company does not adequately protect the identity from </w:t>
      </w:r>
      <w:r w:rsidR="00D90AC0" w:rsidRPr="00431BA7">
        <w:rPr>
          <w:sz w:val="24"/>
          <w:szCs w:val="24"/>
        </w:rPr>
        <w:t xml:space="preserve">public </w:t>
      </w:r>
      <w:r w:rsidRPr="00431BA7">
        <w:rPr>
          <w:sz w:val="24"/>
          <w:szCs w:val="24"/>
        </w:rPr>
        <w:t>disclosure, the</w:t>
      </w:r>
      <w:r w:rsidR="000C5DA5" w:rsidRPr="00431BA7">
        <w:rPr>
          <w:sz w:val="24"/>
          <w:szCs w:val="24"/>
        </w:rPr>
        <w:t>n the</w:t>
      </w:r>
      <w:r w:rsidRPr="00431BA7">
        <w:rPr>
          <w:sz w:val="24"/>
          <w:szCs w:val="24"/>
        </w:rPr>
        <w:t xml:space="preserve"> specific chemical identity CBI claims for both companies </w:t>
      </w:r>
      <w:r w:rsidR="00213163" w:rsidRPr="00431BA7">
        <w:rPr>
          <w:sz w:val="24"/>
          <w:szCs w:val="24"/>
        </w:rPr>
        <w:t>as to the existence of the chemical in U</w:t>
      </w:r>
      <w:r w:rsidR="00B668A9" w:rsidRPr="00431BA7">
        <w:rPr>
          <w:sz w:val="24"/>
          <w:szCs w:val="24"/>
        </w:rPr>
        <w:t>.</w:t>
      </w:r>
      <w:r w:rsidR="00213163" w:rsidRPr="00431BA7">
        <w:rPr>
          <w:sz w:val="24"/>
          <w:szCs w:val="24"/>
        </w:rPr>
        <w:t>S</w:t>
      </w:r>
      <w:r w:rsidR="00B668A9" w:rsidRPr="00431BA7">
        <w:rPr>
          <w:sz w:val="24"/>
          <w:szCs w:val="24"/>
        </w:rPr>
        <w:t>.</w:t>
      </w:r>
      <w:r w:rsidR="00213163" w:rsidRPr="00431BA7">
        <w:rPr>
          <w:sz w:val="24"/>
          <w:szCs w:val="24"/>
        </w:rPr>
        <w:t xml:space="preserve"> commerce </w:t>
      </w:r>
      <w:r w:rsidRPr="00431BA7">
        <w:rPr>
          <w:sz w:val="24"/>
          <w:szCs w:val="24"/>
        </w:rPr>
        <w:t>would not be supportable.</w:t>
      </w:r>
    </w:p>
    <w:p w14:paraId="04101A79" w14:textId="3DAABF99" w:rsidR="005F0D87" w:rsidRPr="00431BA7" w:rsidRDefault="005F0D87" w:rsidP="005F0D87">
      <w:pPr>
        <w:rPr>
          <w:sz w:val="24"/>
          <w:szCs w:val="24"/>
        </w:rPr>
      </w:pPr>
      <w:r w:rsidRPr="00431BA7">
        <w:rPr>
          <w:sz w:val="24"/>
          <w:szCs w:val="24"/>
        </w:rPr>
        <w:t xml:space="preserve">Further, one company’s decision not to make a CBI claim in their submission would not </w:t>
      </w:r>
      <w:bookmarkStart w:id="11" w:name="Quik"/>
      <w:bookmarkEnd w:id="11"/>
      <w:r w:rsidRPr="00431BA7">
        <w:rPr>
          <w:sz w:val="24"/>
          <w:szCs w:val="24"/>
        </w:rPr>
        <w:t xml:space="preserve">generally cause automatic release of another person’s submission that had previously been maintained as confidential, even if the specific chemical identity were moved to the public Inventory.  Instead, in the case of chemical identity, one submitter’s decision not to assert a claim or the denial of one submitter’s claim would most immediately affect that submitter’s claim and related eligibility of that substance for continued confidential Inventory treatment.   Later (or concurrently), when EPA reviews other persons’ CBI claims for the same chemical identity, it is </w:t>
      </w:r>
      <w:r w:rsidRPr="00431BA7">
        <w:rPr>
          <w:rFonts w:cstheme="minorHAnsi"/>
          <w:sz w:val="24"/>
          <w:szCs w:val="24"/>
        </w:rPr>
        <w:t xml:space="preserve">most </w:t>
      </w:r>
      <w:r w:rsidRPr="00431BA7">
        <w:rPr>
          <w:sz w:val="24"/>
          <w:szCs w:val="24"/>
        </w:rPr>
        <w:t>likely that those claims will be denied as well (because it would no longer be secret that the substance is in U.S. commerce). It is then that the other affected parties would receive notice that the chemical identity is no longer “confidential” because the CBI claim was previously waived or denied confidential treatment.  The affected business(es) would then have an opportunity to appeal this determination prior to any possible public release of their submission. Also, any later submissions would still be eligible to make claims for information that is not the specific chemical identity, like company name, that could provide ample protection of a business’s proprietary interests in a particular chemical.</w:t>
      </w:r>
    </w:p>
    <w:p w14:paraId="78D44B40" w14:textId="77777777" w:rsidR="005F0D87" w:rsidRPr="00431BA7" w:rsidRDefault="005F0D87" w:rsidP="005F0D87">
      <w:pPr>
        <w:rPr>
          <w:rFonts w:cstheme="minorHAnsi"/>
          <w:sz w:val="24"/>
          <w:szCs w:val="24"/>
        </w:rPr>
      </w:pPr>
      <w:r w:rsidRPr="00431BA7">
        <w:rPr>
          <w:rFonts w:cstheme="minorHAnsi"/>
          <w:sz w:val="24"/>
          <w:szCs w:val="24"/>
        </w:rPr>
        <w:t xml:space="preserve">In the case of chemical identity claims, that public release would most likely be disclosure on the public Inventory, as well as the possibility of disclosure of the information in the submission document.  This is because once the chemical substance identity is no longer being protected from disclosure (the claim has been waived or withdrawn, denied, or expired), there is no longer a basis for confidential Inventory protection.  As EPA noted in the preamble to the proposed CBI procedures rule, “A substance may be afforded confidential Inventory treatment (e.g., listing by generic name and accession number) so long as the fact that anyone manufactures or processes that substance for commercial purposes in the United States has not been disclosed to the public. By making a non-confidential report of having manufactured or processed a particular substance, the reporter in effect discloses their activities concerning the substance to the public and renders the substance ineligible for continued confidential Inventory treatment.”  87 FR 29078, 29082 (May 12, 2022). </w:t>
      </w:r>
    </w:p>
    <w:p w14:paraId="61ED92A7" w14:textId="64F963C0" w:rsidR="005F0D87" w:rsidRPr="00431BA7" w:rsidRDefault="0003012D" w:rsidP="00BE6FDE">
      <w:pPr>
        <w:rPr>
          <w:rFonts w:cstheme="minorHAnsi"/>
          <w:sz w:val="24"/>
          <w:szCs w:val="24"/>
        </w:rPr>
      </w:pPr>
      <w:r w:rsidRPr="00431BA7">
        <w:rPr>
          <w:rFonts w:cstheme="minorHAnsi"/>
          <w:sz w:val="24"/>
          <w:szCs w:val="24"/>
        </w:rPr>
        <w:t xml:space="preserve">TSCA reporting on existing chemicals (i.e., on the TSCA Inventory) often relies on use of accession numbers </w:t>
      </w:r>
      <w:proofErr w:type="gramStart"/>
      <w:r w:rsidRPr="00431BA7">
        <w:rPr>
          <w:rFonts w:cstheme="minorHAnsi"/>
          <w:sz w:val="24"/>
          <w:szCs w:val="24"/>
        </w:rPr>
        <w:t>as a means to</w:t>
      </w:r>
      <w:proofErr w:type="gramEnd"/>
      <w:r w:rsidRPr="00431BA7">
        <w:rPr>
          <w:rFonts w:cstheme="minorHAnsi"/>
          <w:sz w:val="24"/>
          <w:szCs w:val="24"/>
        </w:rPr>
        <w:t xml:space="preserve"> avoid misidentification and other reporting errors and ease reporting burden while protecting confidential chemical identities. </w:t>
      </w:r>
      <w:r w:rsidRPr="00431BA7">
        <w:rPr>
          <w:rFonts w:cstheme="minorHAnsi"/>
          <w:i/>
          <w:iCs/>
          <w:sz w:val="24"/>
          <w:szCs w:val="24"/>
        </w:rPr>
        <w:t xml:space="preserve">See </w:t>
      </w:r>
      <w:r w:rsidRPr="00431BA7">
        <w:rPr>
          <w:sz w:val="24"/>
          <w:szCs w:val="24"/>
        </w:rPr>
        <w:t>76 FR 50816, 50825 (Aug. 16, 2011)</w:t>
      </w:r>
      <w:r w:rsidRPr="00431BA7">
        <w:rPr>
          <w:rFonts w:cstheme="minorHAnsi"/>
          <w:sz w:val="24"/>
          <w:szCs w:val="24"/>
        </w:rPr>
        <w:t>. CDR reporting, for example, uses a “pick list” of accession numbers included in the Age</w:t>
      </w:r>
      <w:r w:rsidR="00364904" w:rsidRPr="00431BA7">
        <w:rPr>
          <w:rFonts w:cstheme="minorHAnsi"/>
          <w:sz w:val="24"/>
          <w:szCs w:val="24"/>
        </w:rPr>
        <w:t>n</w:t>
      </w:r>
      <w:r w:rsidRPr="00431BA7">
        <w:rPr>
          <w:rFonts w:cstheme="minorHAnsi"/>
          <w:sz w:val="24"/>
          <w:szCs w:val="24"/>
        </w:rPr>
        <w:t xml:space="preserve">cy's Substance Registry Services (SRS) database, which lists all chemical substances on the TSCA Inventory, to provide a public list of reportable confidential chemical identities.  Reporters that do not know the accession number for the substance they are reporting (primarily importers) may use a joint reporting mechanism by which their supplier is contacted </w:t>
      </w:r>
      <w:r w:rsidRPr="00431BA7">
        <w:rPr>
          <w:rFonts w:cstheme="minorHAnsi"/>
          <w:sz w:val="24"/>
          <w:szCs w:val="24"/>
        </w:rPr>
        <w:lastRenderedPageBreak/>
        <w:t xml:space="preserve">to provide specific chemical identification.  Manufacturers (including importers) that do know the accession number are required to assert and substantiate any claims they may wish to maintain, either on their own behalf or on the behalf of a supplier.  The substantiation question at 40 CFR 711.30(b)(1) accommodates consideration of harm to the submitter’s competitive position, which could include consideration of the competitive positions of business partners or others with whom the supplier has contractual or similar relations.  In other words, it is up to the reporting party to work with his business partners to assure that CBI claims are maintained for chemical identities in which they have a mutual interest.  </w:t>
      </w:r>
    </w:p>
    <w:p w14:paraId="572042AB" w14:textId="3397D21F" w:rsidR="005F0D87" w:rsidRPr="00431BA7" w:rsidRDefault="00EB6A83" w:rsidP="00BE6FDE">
      <w:pPr>
        <w:rPr>
          <w:sz w:val="24"/>
          <w:szCs w:val="24"/>
        </w:rPr>
      </w:pPr>
      <w:r w:rsidRPr="00431BA7">
        <w:rPr>
          <w:sz w:val="24"/>
          <w:szCs w:val="24"/>
        </w:rPr>
        <w:t xml:space="preserve">EPA appreciates </w:t>
      </w:r>
      <w:r w:rsidR="0003012D" w:rsidRPr="00431BA7">
        <w:rPr>
          <w:sz w:val="24"/>
          <w:szCs w:val="24"/>
        </w:rPr>
        <w:t>some</w:t>
      </w:r>
      <w:r w:rsidRPr="00431BA7">
        <w:rPr>
          <w:sz w:val="24"/>
          <w:szCs w:val="24"/>
        </w:rPr>
        <w:t xml:space="preserve"> commenters</w:t>
      </w:r>
      <w:r w:rsidR="00EB2F50" w:rsidRPr="00431BA7">
        <w:rPr>
          <w:sz w:val="24"/>
          <w:szCs w:val="24"/>
        </w:rPr>
        <w:t>’</w:t>
      </w:r>
      <w:r w:rsidRPr="00431BA7">
        <w:rPr>
          <w:sz w:val="24"/>
          <w:szCs w:val="24"/>
        </w:rPr>
        <w:t xml:space="preserve"> concern that </w:t>
      </w:r>
      <w:r w:rsidR="00E45B67" w:rsidRPr="00431BA7">
        <w:rPr>
          <w:sz w:val="24"/>
          <w:szCs w:val="24"/>
        </w:rPr>
        <w:t xml:space="preserve">companies without knowledge of specific chemical identity </w:t>
      </w:r>
      <w:r w:rsidR="00610A89" w:rsidRPr="00431BA7">
        <w:rPr>
          <w:sz w:val="24"/>
          <w:szCs w:val="24"/>
        </w:rPr>
        <w:t>(such as processors or importers)</w:t>
      </w:r>
      <w:r w:rsidR="00566F47" w:rsidRPr="00431BA7">
        <w:rPr>
          <w:sz w:val="24"/>
          <w:szCs w:val="24"/>
        </w:rPr>
        <w:t xml:space="preserve"> </w:t>
      </w:r>
      <w:r w:rsidR="00610A89" w:rsidRPr="00431BA7">
        <w:rPr>
          <w:sz w:val="24"/>
          <w:szCs w:val="24"/>
        </w:rPr>
        <w:t>could</w:t>
      </w:r>
      <w:r w:rsidR="00E45B67" w:rsidRPr="00431BA7">
        <w:rPr>
          <w:sz w:val="24"/>
          <w:szCs w:val="24"/>
        </w:rPr>
        <w:t xml:space="preserve"> waive </w:t>
      </w:r>
      <w:r w:rsidR="00EB2F50" w:rsidRPr="00431BA7">
        <w:rPr>
          <w:sz w:val="24"/>
          <w:szCs w:val="24"/>
        </w:rPr>
        <w:t xml:space="preserve">a CBI claim </w:t>
      </w:r>
      <w:r w:rsidR="00610A89" w:rsidRPr="00431BA7">
        <w:rPr>
          <w:sz w:val="24"/>
          <w:szCs w:val="24"/>
        </w:rPr>
        <w:t>previously asserted by another company</w:t>
      </w:r>
      <w:r w:rsidR="00C44D64" w:rsidRPr="00431BA7">
        <w:rPr>
          <w:sz w:val="24"/>
          <w:szCs w:val="24"/>
        </w:rPr>
        <w:t>.</w:t>
      </w:r>
      <w:r w:rsidR="00130CDE" w:rsidRPr="00431BA7">
        <w:rPr>
          <w:sz w:val="24"/>
          <w:szCs w:val="24"/>
        </w:rPr>
        <w:t xml:space="preserve"> </w:t>
      </w:r>
      <w:r w:rsidR="00130CDE" w:rsidRPr="00431BA7">
        <w:rPr>
          <w:rFonts w:cstheme="minorHAnsi"/>
          <w:sz w:val="24"/>
          <w:szCs w:val="24"/>
        </w:rPr>
        <w:t xml:space="preserve">However, EPA believes that the best way to address commenters’ concerns is to include measures in specific TSCA reporting rules that </w:t>
      </w:r>
      <w:proofErr w:type="gramStart"/>
      <w:r w:rsidR="00130CDE" w:rsidRPr="00431BA7">
        <w:rPr>
          <w:rFonts w:cstheme="minorHAnsi"/>
          <w:sz w:val="24"/>
          <w:szCs w:val="24"/>
        </w:rPr>
        <w:t>take into account</w:t>
      </w:r>
      <w:proofErr w:type="gramEnd"/>
      <w:r w:rsidR="00130CDE" w:rsidRPr="00431BA7">
        <w:rPr>
          <w:rFonts w:cstheme="minorHAnsi"/>
          <w:sz w:val="24"/>
          <w:szCs w:val="24"/>
        </w:rPr>
        <w:t xml:space="preserve"> the reporting entity’s potential lack of knowledge, where such measures are necessary.  </w:t>
      </w:r>
      <w:r w:rsidR="00130CDE" w:rsidRPr="00431BA7">
        <w:rPr>
          <w:rFonts w:eastAsia="SimSun"/>
          <w:sz w:val="24"/>
          <w:szCs w:val="24"/>
        </w:rPr>
        <w:t xml:space="preserve">Addressing the issue in the context of specific reporting rules will allow EPA to take into consideration the unique reporting context for the rule, such as the attributes of specific reporters. </w:t>
      </w:r>
      <w:r w:rsidR="00130CDE" w:rsidRPr="00431BA7">
        <w:rPr>
          <w:rFonts w:cstheme="minorHAnsi"/>
          <w:sz w:val="24"/>
          <w:szCs w:val="24"/>
        </w:rPr>
        <w:t>For example, if a reporting rule includes certain reporters who lack knowledge of specific chemical identities, EPA may consider solutions such as relieving some obligations to maintain CBI claims, shifting that obligation to a joint reporter (such as the initial manufacturer), and clarifying how the Agency will proceed when EPA has information demonstrating that a reporter lacks knowledge of the specific chemical identity</w:t>
      </w:r>
      <w:r w:rsidR="00130CDE" w:rsidRPr="00431BA7">
        <w:rPr>
          <w:rFonts w:cstheme="minorHAnsi"/>
          <w:color w:val="000000" w:themeColor="text1"/>
          <w:sz w:val="24"/>
          <w:szCs w:val="24"/>
        </w:rPr>
        <w:t xml:space="preserve">.  See, related discussion in </w:t>
      </w:r>
      <w:r w:rsidR="00130CDE" w:rsidRPr="00431BA7">
        <w:rPr>
          <w:i/>
          <w:iCs/>
          <w:color w:val="000000" w:themeColor="text1"/>
          <w:sz w:val="24"/>
          <w:szCs w:val="24"/>
        </w:rPr>
        <w:t xml:space="preserve">TSCA Section 8(a)(7) Reporting and Recordkeeping Requirements for Perfluoroalkyl and Polyfluoroalkyl Substances; Notice of Data Availability and Request for Comment, </w:t>
      </w:r>
      <w:r w:rsidR="00130CDE" w:rsidRPr="00431BA7">
        <w:rPr>
          <w:color w:val="000000" w:themeColor="text1"/>
          <w:sz w:val="24"/>
          <w:szCs w:val="24"/>
        </w:rPr>
        <w:t>87 FR 72439, 72441 (November 25, 2022</w:t>
      </w:r>
      <w:r w:rsidR="00663384" w:rsidRPr="00431BA7">
        <w:rPr>
          <w:color w:val="000000" w:themeColor="text1"/>
          <w:sz w:val="24"/>
          <w:szCs w:val="24"/>
        </w:rPr>
        <w:t>).</w:t>
      </w:r>
      <w:r w:rsidR="00C44D64" w:rsidRPr="00431BA7">
        <w:rPr>
          <w:color w:val="000000" w:themeColor="text1"/>
          <w:sz w:val="24"/>
          <w:szCs w:val="24"/>
        </w:rPr>
        <w:t xml:space="preserve"> </w:t>
      </w:r>
      <w:r w:rsidR="008027DD" w:rsidRPr="00431BA7">
        <w:rPr>
          <w:color w:val="000000" w:themeColor="text1"/>
          <w:sz w:val="24"/>
          <w:szCs w:val="24"/>
        </w:rPr>
        <w:t xml:space="preserve"> </w:t>
      </w:r>
    </w:p>
    <w:p w14:paraId="2CAEA641" w14:textId="24F1B259" w:rsidR="00CD7854" w:rsidRPr="00431BA7" w:rsidRDefault="005A7FC2" w:rsidP="00BE6FDE">
      <w:pPr>
        <w:rPr>
          <w:rFonts w:cstheme="minorHAnsi"/>
          <w:sz w:val="24"/>
          <w:szCs w:val="24"/>
        </w:rPr>
      </w:pPr>
      <w:r w:rsidRPr="00431BA7">
        <w:rPr>
          <w:rFonts w:cstheme="minorHAnsi"/>
          <w:sz w:val="24"/>
          <w:szCs w:val="24"/>
        </w:rPr>
        <w:t xml:space="preserve">Some commenters suggested that in cases where accession number only is used to report confidential Inventory substances (e.g., CDR), EPA should treat the submission as not including a CBI claim for chemical identity, since no confidential identifier </w:t>
      </w:r>
      <w:proofErr w:type="gramStart"/>
      <w:r w:rsidRPr="00431BA7">
        <w:rPr>
          <w:rFonts w:cstheme="minorHAnsi"/>
          <w:sz w:val="24"/>
          <w:szCs w:val="24"/>
        </w:rPr>
        <w:t>actually appears</w:t>
      </w:r>
      <w:proofErr w:type="gramEnd"/>
      <w:r w:rsidRPr="00431BA7">
        <w:rPr>
          <w:rFonts w:cstheme="minorHAnsi"/>
          <w:sz w:val="24"/>
          <w:szCs w:val="24"/>
        </w:rPr>
        <w:t xml:space="preserve"> on the reporting form.  EPA disagrees with these comments</w:t>
      </w:r>
      <w:r w:rsidR="00D31E35" w:rsidRPr="00431BA7">
        <w:rPr>
          <w:rFonts w:cstheme="minorHAnsi"/>
          <w:sz w:val="24"/>
          <w:szCs w:val="24"/>
        </w:rPr>
        <w:t xml:space="preserve"> in part, particularly as applied to established reporting rules such as CDR</w:t>
      </w:r>
      <w:r w:rsidRPr="00431BA7">
        <w:rPr>
          <w:rFonts w:cstheme="minorHAnsi"/>
          <w:sz w:val="24"/>
          <w:szCs w:val="24"/>
        </w:rPr>
        <w:t>.</w:t>
      </w:r>
      <w:r w:rsidR="00D31E35" w:rsidRPr="00431BA7">
        <w:rPr>
          <w:rFonts w:cstheme="minorHAnsi"/>
          <w:sz w:val="24"/>
          <w:szCs w:val="24"/>
        </w:rPr>
        <w:t xml:space="preserve">  Confidential Inventory protection was a tool devised by EPA </w:t>
      </w:r>
      <w:r w:rsidR="00A178AE" w:rsidRPr="00431BA7">
        <w:rPr>
          <w:rFonts w:cstheme="minorHAnsi"/>
          <w:sz w:val="24"/>
          <w:szCs w:val="24"/>
        </w:rPr>
        <w:t>early in the initial implementation of</w:t>
      </w:r>
      <w:r w:rsidR="00D31E35" w:rsidRPr="00431BA7">
        <w:rPr>
          <w:rFonts w:cstheme="minorHAnsi"/>
          <w:sz w:val="24"/>
          <w:szCs w:val="24"/>
        </w:rPr>
        <w:t xml:space="preserve"> TSCA </w:t>
      </w:r>
      <w:r w:rsidR="001972AB" w:rsidRPr="00431BA7">
        <w:rPr>
          <w:rFonts w:cstheme="minorHAnsi"/>
          <w:sz w:val="24"/>
          <w:szCs w:val="24"/>
        </w:rPr>
        <w:t>and</w:t>
      </w:r>
      <w:r w:rsidR="00D31E35" w:rsidRPr="00431BA7">
        <w:rPr>
          <w:rFonts w:cstheme="minorHAnsi"/>
          <w:sz w:val="24"/>
          <w:szCs w:val="24"/>
        </w:rPr>
        <w:t xml:space="preserve"> intend</w:t>
      </w:r>
      <w:r w:rsidR="00A178AE" w:rsidRPr="00431BA7">
        <w:rPr>
          <w:rFonts w:cstheme="minorHAnsi"/>
          <w:sz w:val="24"/>
          <w:szCs w:val="24"/>
        </w:rPr>
        <w:t>ed</w:t>
      </w:r>
      <w:r w:rsidR="00D31E35" w:rsidRPr="00431BA7">
        <w:rPr>
          <w:rFonts w:cstheme="minorHAnsi"/>
          <w:sz w:val="24"/>
          <w:szCs w:val="24"/>
        </w:rPr>
        <w:t xml:space="preserve"> to balance two competing interests ingrained in TSCA—maximizing availability of public information concerning chemicals while protecting valid trade secrets and intellectual property rights.</w:t>
      </w:r>
      <w:r w:rsidRPr="00431BA7">
        <w:rPr>
          <w:rFonts w:cstheme="minorHAnsi"/>
          <w:sz w:val="24"/>
          <w:szCs w:val="24"/>
        </w:rPr>
        <w:t xml:space="preserve">  </w:t>
      </w:r>
      <w:r w:rsidR="00367886" w:rsidRPr="00431BA7">
        <w:rPr>
          <w:rFonts w:cstheme="minorHAnsi"/>
          <w:sz w:val="24"/>
          <w:szCs w:val="24"/>
        </w:rPr>
        <w:t>See 42 FR 64572</w:t>
      </w:r>
      <w:r w:rsidR="003F3422" w:rsidRPr="00431BA7">
        <w:rPr>
          <w:rFonts w:cstheme="minorHAnsi"/>
          <w:sz w:val="24"/>
          <w:szCs w:val="24"/>
        </w:rPr>
        <w:t>, beginning at 64573 and at 64590 (comment 93) (December 23, 1977)</w:t>
      </w:r>
      <w:r w:rsidR="00D31E35" w:rsidRPr="00431BA7">
        <w:rPr>
          <w:rFonts w:cstheme="minorHAnsi"/>
          <w:sz w:val="24"/>
          <w:szCs w:val="24"/>
        </w:rPr>
        <w:t xml:space="preserve">.  From the outset, any TSCA chemical reported without a CBI claim and any required supporting information has been subject to removal from the confidential to public portion of the Inventory.  </w:t>
      </w:r>
      <w:r w:rsidR="003F3422" w:rsidRPr="00431BA7">
        <w:rPr>
          <w:rFonts w:cstheme="minorHAnsi"/>
          <w:i/>
          <w:iCs/>
          <w:sz w:val="24"/>
          <w:szCs w:val="24"/>
        </w:rPr>
        <w:t>Id</w:t>
      </w:r>
      <w:r w:rsidR="003F3422" w:rsidRPr="00431BA7">
        <w:rPr>
          <w:rFonts w:cstheme="minorHAnsi"/>
          <w:sz w:val="24"/>
          <w:szCs w:val="24"/>
        </w:rPr>
        <w:t xml:space="preserve">, at 64591.  </w:t>
      </w:r>
      <w:r w:rsidR="00D31E35" w:rsidRPr="00431BA7">
        <w:rPr>
          <w:rFonts w:cstheme="minorHAnsi"/>
          <w:sz w:val="24"/>
          <w:szCs w:val="24"/>
        </w:rPr>
        <w:t xml:space="preserve">Diligent maintenance of such claims has always been important to maintaining confidential protections and upholding the balance between transparency and protection of trade secrets.  </w:t>
      </w:r>
    </w:p>
    <w:p w14:paraId="4F9F893B" w14:textId="44649F0A" w:rsidR="00A178AE" w:rsidRPr="00431BA7" w:rsidRDefault="00D31E35" w:rsidP="00BE6FDE">
      <w:pPr>
        <w:rPr>
          <w:rFonts w:cstheme="minorHAnsi"/>
          <w:sz w:val="24"/>
          <w:szCs w:val="24"/>
        </w:rPr>
      </w:pPr>
      <w:r w:rsidRPr="00431BA7">
        <w:rPr>
          <w:rFonts w:cstheme="minorHAnsi"/>
          <w:sz w:val="24"/>
          <w:szCs w:val="24"/>
        </w:rPr>
        <w:t xml:space="preserve">The shift over the past decades to e-reporting was not meant to upset that balance—indeed, Congress’s amendments to section 14 of TSCA evidence an intention that CBI claims should be robustly supported and </w:t>
      </w:r>
      <w:r w:rsidR="00BE3BFE" w:rsidRPr="00431BA7">
        <w:rPr>
          <w:rFonts w:cstheme="minorHAnsi"/>
          <w:sz w:val="24"/>
          <w:szCs w:val="24"/>
        </w:rPr>
        <w:t xml:space="preserve">regularly </w:t>
      </w:r>
      <w:r w:rsidRPr="00431BA7">
        <w:rPr>
          <w:rFonts w:cstheme="minorHAnsi"/>
          <w:sz w:val="24"/>
          <w:szCs w:val="24"/>
        </w:rPr>
        <w:t>maintained</w:t>
      </w:r>
      <w:r w:rsidR="00FF47AE" w:rsidRPr="00431BA7">
        <w:rPr>
          <w:rFonts w:cstheme="minorHAnsi"/>
          <w:sz w:val="24"/>
          <w:szCs w:val="24"/>
        </w:rPr>
        <w:t xml:space="preserve">. </w:t>
      </w:r>
      <w:r w:rsidR="003F3422" w:rsidRPr="00431BA7">
        <w:rPr>
          <w:rFonts w:cstheme="minorHAnsi"/>
          <w:sz w:val="24"/>
          <w:szCs w:val="24"/>
        </w:rPr>
        <w:t>The amendments</w:t>
      </w:r>
      <w:r w:rsidRPr="00431BA7">
        <w:rPr>
          <w:rFonts w:cstheme="minorHAnsi"/>
          <w:sz w:val="24"/>
          <w:szCs w:val="24"/>
        </w:rPr>
        <w:t xml:space="preserve"> include an extensive CBI review requirement </w:t>
      </w:r>
      <w:r w:rsidR="00FF47AE" w:rsidRPr="00431BA7">
        <w:rPr>
          <w:rFonts w:cstheme="minorHAnsi"/>
          <w:sz w:val="24"/>
          <w:szCs w:val="24"/>
        </w:rPr>
        <w:t xml:space="preserve">for </w:t>
      </w:r>
      <w:r w:rsidRPr="00431BA7">
        <w:rPr>
          <w:rFonts w:cstheme="minorHAnsi"/>
          <w:sz w:val="24"/>
          <w:szCs w:val="24"/>
        </w:rPr>
        <w:t>EPA</w:t>
      </w:r>
      <w:r w:rsidR="00FF47AE" w:rsidRPr="00431BA7">
        <w:rPr>
          <w:rFonts w:cstheme="minorHAnsi"/>
          <w:sz w:val="24"/>
          <w:szCs w:val="24"/>
        </w:rPr>
        <w:t xml:space="preserve"> to</w:t>
      </w:r>
      <w:r w:rsidRPr="00431BA7">
        <w:rPr>
          <w:rFonts w:cstheme="minorHAnsi"/>
          <w:sz w:val="24"/>
          <w:szCs w:val="24"/>
        </w:rPr>
        <w:t xml:space="preserve"> </w:t>
      </w:r>
      <w:r w:rsidR="00D27911" w:rsidRPr="00431BA7">
        <w:rPr>
          <w:rFonts w:cstheme="minorHAnsi"/>
          <w:sz w:val="24"/>
          <w:szCs w:val="24"/>
        </w:rPr>
        <w:t xml:space="preserve">evaluate </w:t>
      </w:r>
      <w:r w:rsidR="007A5CA1" w:rsidRPr="00431BA7">
        <w:rPr>
          <w:rFonts w:cstheme="minorHAnsi"/>
          <w:sz w:val="24"/>
          <w:szCs w:val="24"/>
        </w:rPr>
        <w:t xml:space="preserve">the appropriateness of many claims, including all chemical </w:t>
      </w:r>
      <w:r w:rsidR="007A5CA1" w:rsidRPr="00431BA7">
        <w:rPr>
          <w:rFonts w:cstheme="minorHAnsi"/>
          <w:sz w:val="24"/>
          <w:szCs w:val="24"/>
        </w:rPr>
        <w:lastRenderedPageBreak/>
        <w:t>identity claims concerning substances that have been introduced into commerce</w:t>
      </w:r>
      <w:r w:rsidR="00835FEC" w:rsidRPr="00431BA7">
        <w:rPr>
          <w:rFonts w:cstheme="minorHAnsi"/>
          <w:sz w:val="24"/>
          <w:szCs w:val="24"/>
        </w:rPr>
        <w:t xml:space="preserve">, as well </w:t>
      </w:r>
      <w:r w:rsidR="00C23C6B" w:rsidRPr="00431BA7">
        <w:rPr>
          <w:rFonts w:cstheme="minorHAnsi"/>
          <w:sz w:val="24"/>
          <w:szCs w:val="24"/>
        </w:rPr>
        <w:t>a</w:t>
      </w:r>
      <w:r w:rsidR="00835FEC" w:rsidRPr="00431BA7">
        <w:rPr>
          <w:rFonts w:cstheme="minorHAnsi"/>
          <w:sz w:val="24"/>
          <w:szCs w:val="24"/>
        </w:rPr>
        <w:t>s provisions that most CBI claims expire after ten years unless reasserted and substantiated</w:t>
      </w:r>
      <w:r w:rsidR="007A5CA1" w:rsidRPr="00431BA7">
        <w:rPr>
          <w:rFonts w:cstheme="minorHAnsi"/>
          <w:sz w:val="24"/>
          <w:szCs w:val="24"/>
        </w:rPr>
        <w:t xml:space="preserve">.  It would not be consistent with these amendments to wholesale exclude hundreds or thousands of confidential reports in any given year from any scrutiny </w:t>
      </w:r>
      <w:r w:rsidR="00FF47AE" w:rsidRPr="00431BA7">
        <w:rPr>
          <w:rFonts w:cstheme="minorHAnsi"/>
          <w:sz w:val="24"/>
          <w:szCs w:val="24"/>
        </w:rPr>
        <w:t>of reported</w:t>
      </w:r>
      <w:r w:rsidR="007A5CA1" w:rsidRPr="00431BA7">
        <w:rPr>
          <w:rFonts w:cstheme="minorHAnsi"/>
          <w:sz w:val="24"/>
          <w:szCs w:val="24"/>
        </w:rPr>
        <w:t xml:space="preserve"> chemical identit</w:t>
      </w:r>
      <w:r w:rsidR="00FF47AE" w:rsidRPr="00431BA7">
        <w:rPr>
          <w:rFonts w:cstheme="minorHAnsi"/>
          <w:sz w:val="24"/>
          <w:szCs w:val="24"/>
        </w:rPr>
        <w:t>ies</w:t>
      </w:r>
      <w:r w:rsidR="007A5CA1" w:rsidRPr="00431BA7">
        <w:rPr>
          <w:rFonts w:cstheme="minorHAnsi"/>
          <w:sz w:val="24"/>
          <w:szCs w:val="24"/>
        </w:rPr>
        <w:t>, especially not without considering such a significant change in the context of more specific reporting rules.</w:t>
      </w:r>
      <w:r w:rsidRPr="00431BA7">
        <w:rPr>
          <w:rFonts w:cstheme="minorHAnsi"/>
          <w:sz w:val="24"/>
          <w:szCs w:val="24"/>
        </w:rPr>
        <w:t xml:space="preserve"> </w:t>
      </w:r>
      <w:r w:rsidR="007A5CA1" w:rsidRPr="00431BA7">
        <w:rPr>
          <w:rFonts w:cstheme="minorHAnsi"/>
          <w:sz w:val="24"/>
          <w:szCs w:val="24"/>
        </w:rPr>
        <w:t xml:space="preserve"> </w:t>
      </w:r>
      <w:r w:rsidR="003D7636" w:rsidRPr="00431BA7">
        <w:rPr>
          <w:rFonts w:cstheme="minorHAnsi"/>
          <w:sz w:val="24"/>
          <w:szCs w:val="24"/>
        </w:rPr>
        <w:t xml:space="preserve">Neither would it be desirable to return, for the purposes of assuring that the reporter knows the specific chemical identity, to reporting confidential chemicals by specific Inventory name and CASRN.  Doing so would </w:t>
      </w:r>
      <w:r w:rsidR="003D7636" w:rsidRPr="00431BA7">
        <w:rPr>
          <w:sz w:val="24"/>
          <w:szCs w:val="24"/>
        </w:rPr>
        <w:t>create a substantial burden for both reporters (looking up or requesting the full Inventory name from EPA and reporting it accurately) and EPA (</w:t>
      </w:r>
      <w:r w:rsidR="00CD7854" w:rsidRPr="00431BA7">
        <w:rPr>
          <w:sz w:val="24"/>
          <w:szCs w:val="24"/>
        </w:rPr>
        <w:t xml:space="preserve">correcting </w:t>
      </w:r>
      <w:r w:rsidR="003D7636" w:rsidRPr="00431BA7">
        <w:rPr>
          <w:sz w:val="24"/>
          <w:szCs w:val="24"/>
        </w:rPr>
        <w:t xml:space="preserve">the inevitable and numerous </w:t>
      </w:r>
      <w:r w:rsidR="00835FEC" w:rsidRPr="00431BA7">
        <w:rPr>
          <w:sz w:val="24"/>
          <w:szCs w:val="24"/>
        </w:rPr>
        <w:t xml:space="preserve">chemical identification reporting </w:t>
      </w:r>
      <w:r w:rsidR="003D7636" w:rsidRPr="00431BA7">
        <w:rPr>
          <w:sz w:val="24"/>
          <w:szCs w:val="24"/>
        </w:rPr>
        <w:t>errors)</w:t>
      </w:r>
      <w:r w:rsidR="00CD7854" w:rsidRPr="00431BA7">
        <w:rPr>
          <w:sz w:val="24"/>
          <w:szCs w:val="24"/>
        </w:rPr>
        <w:t>.  Such a requirement</w:t>
      </w:r>
      <w:r w:rsidR="003D7636" w:rsidRPr="00431BA7">
        <w:rPr>
          <w:sz w:val="24"/>
          <w:szCs w:val="24"/>
        </w:rPr>
        <w:t xml:space="preserve"> would</w:t>
      </w:r>
      <w:r w:rsidR="00CD7854" w:rsidRPr="00431BA7">
        <w:rPr>
          <w:sz w:val="24"/>
          <w:szCs w:val="24"/>
        </w:rPr>
        <w:t xml:space="preserve"> also</w:t>
      </w:r>
      <w:r w:rsidR="003D7636" w:rsidRPr="00431BA7">
        <w:rPr>
          <w:sz w:val="24"/>
          <w:szCs w:val="24"/>
        </w:rPr>
        <w:t xml:space="preserve"> disadvantage domestic manufacturers, who would have to diligently </w:t>
      </w:r>
      <w:r w:rsidR="00835FEC" w:rsidRPr="00431BA7">
        <w:rPr>
          <w:sz w:val="24"/>
          <w:szCs w:val="24"/>
        </w:rPr>
        <w:t xml:space="preserve">maintain and </w:t>
      </w:r>
      <w:r w:rsidR="003D7636" w:rsidRPr="00431BA7">
        <w:rPr>
          <w:sz w:val="24"/>
          <w:szCs w:val="24"/>
        </w:rPr>
        <w:t xml:space="preserve">defend their </w:t>
      </w:r>
      <w:r w:rsidR="00271747" w:rsidRPr="00431BA7">
        <w:rPr>
          <w:sz w:val="24"/>
          <w:szCs w:val="24"/>
        </w:rPr>
        <w:t xml:space="preserve">confidentiality </w:t>
      </w:r>
      <w:r w:rsidR="003D7636" w:rsidRPr="00431BA7">
        <w:rPr>
          <w:sz w:val="24"/>
          <w:szCs w:val="24"/>
        </w:rPr>
        <w:t xml:space="preserve">claims and work with </w:t>
      </w:r>
      <w:r w:rsidR="00CD7854" w:rsidRPr="00431BA7">
        <w:rPr>
          <w:sz w:val="24"/>
          <w:szCs w:val="24"/>
        </w:rPr>
        <w:t xml:space="preserve">their </w:t>
      </w:r>
      <w:r w:rsidR="003D7636" w:rsidRPr="00431BA7">
        <w:rPr>
          <w:sz w:val="24"/>
          <w:szCs w:val="24"/>
        </w:rPr>
        <w:t xml:space="preserve">customers to do the same, while foreign manufacturers and their (perhaps willfully) ignorant customer/importers would be insulated from virtually </w:t>
      </w:r>
      <w:r w:rsidR="00CD7854" w:rsidRPr="00431BA7">
        <w:rPr>
          <w:sz w:val="24"/>
          <w:szCs w:val="24"/>
        </w:rPr>
        <w:t>any meaningful requirement to maintain their CBI claim (since EPA would not be able to effectuate a denial of the claim or a withdrawal of the claim without a demonstration of chemical identity knowledge on the part of the submitting company).</w:t>
      </w:r>
      <w:r w:rsidR="003D7636" w:rsidRPr="00431BA7">
        <w:rPr>
          <w:sz w:val="24"/>
          <w:szCs w:val="24"/>
        </w:rPr>
        <w:t xml:space="preserve">  </w:t>
      </w:r>
      <w:r w:rsidR="007A5CA1" w:rsidRPr="00431BA7">
        <w:rPr>
          <w:rFonts w:cstheme="minorHAnsi"/>
          <w:sz w:val="24"/>
          <w:szCs w:val="24"/>
        </w:rPr>
        <w:t xml:space="preserve">Instead, this final rule will maintain the status quo with respect to CDR and other rules that were not proposed to be amended in substance as part of this rule.  </w:t>
      </w:r>
    </w:p>
    <w:p w14:paraId="3B8A697D" w14:textId="304E692F" w:rsidR="005A7FC2" w:rsidRPr="00431BA7" w:rsidRDefault="007A5CA1" w:rsidP="00BE6FDE">
      <w:pPr>
        <w:rPr>
          <w:rFonts w:cstheme="minorHAnsi"/>
          <w:sz w:val="24"/>
          <w:szCs w:val="24"/>
        </w:rPr>
      </w:pPr>
      <w:r w:rsidRPr="00431BA7">
        <w:rPr>
          <w:rFonts w:cstheme="minorHAnsi"/>
          <w:sz w:val="24"/>
          <w:szCs w:val="24"/>
        </w:rPr>
        <w:t xml:space="preserve">EPA does note that the TSCA section 12(b) rules (Part 707) usually do not require that a confidential specific chemical identity be reported—relying on identification of the substance as it was identified in the underlying rule or order that </w:t>
      </w:r>
      <w:r w:rsidR="00A178AE" w:rsidRPr="00431BA7">
        <w:rPr>
          <w:rFonts w:cstheme="minorHAnsi"/>
          <w:sz w:val="24"/>
          <w:szCs w:val="24"/>
        </w:rPr>
        <w:t xml:space="preserve">triggered the 12(b) reporting requirement—in most instances, this means that the rule only requires that a public identifier be reported and the rule does not and will not require that CBI claims be asserted to protect any specific identity underlying those public identifiers.  The reasons for this difference in treatment in 12(b) reporting versus CDR reporting are elaborated </w:t>
      </w:r>
      <w:r w:rsidR="004F73DB" w:rsidRPr="00431BA7">
        <w:rPr>
          <w:rFonts w:cstheme="minorHAnsi"/>
          <w:sz w:val="24"/>
          <w:szCs w:val="24"/>
        </w:rPr>
        <w:t xml:space="preserve">in </w:t>
      </w:r>
      <w:r w:rsidR="00605483" w:rsidRPr="00431BA7">
        <w:rPr>
          <w:rFonts w:cstheme="minorHAnsi"/>
          <w:sz w:val="24"/>
          <w:szCs w:val="24"/>
        </w:rPr>
        <w:t>Unit 22.</w:t>
      </w:r>
    </w:p>
    <w:p w14:paraId="313E738C" w14:textId="2F678172" w:rsidR="006F6AE7" w:rsidRPr="00431BA7" w:rsidRDefault="00EB7026" w:rsidP="006F6AE7">
      <w:pPr>
        <w:rPr>
          <w:sz w:val="24"/>
          <w:szCs w:val="24"/>
        </w:rPr>
      </w:pPr>
      <w:r w:rsidRPr="00431BA7">
        <w:rPr>
          <w:b/>
          <w:bCs/>
          <w:sz w:val="24"/>
          <w:szCs w:val="24"/>
        </w:rPr>
        <w:t>Comment</w:t>
      </w:r>
      <w:r w:rsidRPr="00431BA7">
        <w:rPr>
          <w:sz w:val="24"/>
          <w:szCs w:val="24"/>
        </w:rPr>
        <w:t xml:space="preserve">: </w:t>
      </w:r>
      <w:r w:rsidR="0081307D" w:rsidRPr="00431BA7">
        <w:rPr>
          <w:sz w:val="24"/>
          <w:szCs w:val="24"/>
        </w:rPr>
        <w:t>Disclosing chemical identity</w:t>
      </w:r>
      <w:r w:rsidR="00CC263C" w:rsidRPr="00431BA7">
        <w:rPr>
          <w:sz w:val="24"/>
          <w:szCs w:val="24"/>
        </w:rPr>
        <w:t xml:space="preserve"> </w:t>
      </w:r>
      <w:r w:rsidR="00945F59" w:rsidRPr="00431BA7">
        <w:rPr>
          <w:sz w:val="24"/>
          <w:szCs w:val="24"/>
        </w:rPr>
        <w:t xml:space="preserve">claimed as CBI by one company, because another company failed to assert </w:t>
      </w:r>
      <w:r w:rsidR="006F6AE7" w:rsidRPr="00431BA7">
        <w:rPr>
          <w:sz w:val="24"/>
          <w:szCs w:val="24"/>
        </w:rPr>
        <w:t xml:space="preserve">a CBI claim for that chemical identity, </w:t>
      </w:r>
      <w:r w:rsidR="00A704BA" w:rsidRPr="00431BA7">
        <w:rPr>
          <w:sz w:val="24"/>
          <w:szCs w:val="24"/>
        </w:rPr>
        <w:t xml:space="preserve">is inconsistent with the notice requirements of </w:t>
      </w:r>
      <w:r w:rsidR="004F73DB" w:rsidRPr="00431BA7">
        <w:rPr>
          <w:sz w:val="24"/>
          <w:szCs w:val="24"/>
        </w:rPr>
        <w:t xml:space="preserve">TSCA </w:t>
      </w:r>
      <w:r w:rsidR="00A704BA" w:rsidRPr="00431BA7">
        <w:rPr>
          <w:sz w:val="24"/>
          <w:szCs w:val="24"/>
        </w:rPr>
        <w:t>section 14(g)(2)</w:t>
      </w:r>
      <w:r w:rsidR="00510C24" w:rsidRPr="00431BA7">
        <w:rPr>
          <w:sz w:val="24"/>
          <w:szCs w:val="24"/>
        </w:rPr>
        <w:t>.</w:t>
      </w:r>
      <w:r w:rsidR="003A5054" w:rsidRPr="00431BA7">
        <w:rPr>
          <w:sz w:val="24"/>
          <w:szCs w:val="24"/>
        </w:rPr>
        <w:t xml:space="preserve"> </w:t>
      </w:r>
    </w:p>
    <w:p w14:paraId="32ABE35F" w14:textId="30DDC8E2" w:rsidR="00805C2E" w:rsidRPr="00431BA7" w:rsidRDefault="00A62BAF">
      <w:pPr>
        <w:rPr>
          <w:sz w:val="24"/>
          <w:szCs w:val="24"/>
        </w:rPr>
      </w:pPr>
      <w:r w:rsidRPr="00431BA7">
        <w:rPr>
          <w:b/>
          <w:bCs/>
          <w:sz w:val="24"/>
          <w:szCs w:val="24"/>
        </w:rPr>
        <w:t>Response</w:t>
      </w:r>
      <w:r w:rsidRPr="00431BA7">
        <w:rPr>
          <w:sz w:val="24"/>
          <w:szCs w:val="24"/>
        </w:rPr>
        <w:t xml:space="preserve">:  </w:t>
      </w:r>
      <w:r w:rsidR="00BC710D" w:rsidRPr="00431BA7">
        <w:rPr>
          <w:sz w:val="24"/>
          <w:szCs w:val="24"/>
        </w:rPr>
        <w:t xml:space="preserve">This rule serves as the notice required by the statute.  </w:t>
      </w:r>
      <w:r w:rsidR="008E3CC3" w:rsidRPr="00431BA7">
        <w:rPr>
          <w:sz w:val="24"/>
          <w:szCs w:val="24"/>
        </w:rPr>
        <w:t>EPA has long</w:t>
      </w:r>
      <w:r w:rsidR="000D216E" w:rsidRPr="00431BA7">
        <w:rPr>
          <w:sz w:val="24"/>
          <w:szCs w:val="24"/>
        </w:rPr>
        <w:t xml:space="preserve"> interpreted </w:t>
      </w:r>
      <w:r w:rsidR="00681EE0" w:rsidRPr="00431BA7">
        <w:rPr>
          <w:sz w:val="24"/>
          <w:szCs w:val="24"/>
        </w:rPr>
        <w:t>rules</w:t>
      </w:r>
      <w:r w:rsidR="00CB376D" w:rsidRPr="00431BA7">
        <w:rPr>
          <w:sz w:val="24"/>
          <w:szCs w:val="24"/>
        </w:rPr>
        <w:t xml:space="preserve"> providing for </w:t>
      </w:r>
      <w:r w:rsidR="005D38C9" w:rsidRPr="00431BA7">
        <w:rPr>
          <w:sz w:val="24"/>
          <w:szCs w:val="24"/>
        </w:rPr>
        <w:t xml:space="preserve">disclosure of information claimed as </w:t>
      </w:r>
      <w:r w:rsidR="001360FB" w:rsidRPr="00431BA7">
        <w:rPr>
          <w:sz w:val="24"/>
          <w:szCs w:val="24"/>
        </w:rPr>
        <w:t>CBI</w:t>
      </w:r>
      <w:r w:rsidR="00CD2162" w:rsidRPr="00431BA7">
        <w:rPr>
          <w:sz w:val="24"/>
          <w:szCs w:val="24"/>
        </w:rPr>
        <w:t>, where the rule</w:t>
      </w:r>
      <w:r w:rsidR="00C1317C" w:rsidRPr="00431BA7">
        <w:rPr>
          <w:sz w:val="24"/>
          <w:szCs w:val="24"/>
        </w:rPr>
        <w:t xml:space="preserve"> makes those situations clear, as satisfying </w:t>
      </w:r>
      <w:r w:rsidR="00681046" w:rsidRPr="00431BA7">
        <w:rPr>
          <w:sz w:val="24"/>
          <w:szCs w:val="24"/>
        </w:rPr>
        <w:t>TSCA</w:t>
      </w:r>
      <w:r w:rsidR="00CA5AB9" w:rsidRPr="00431BA7">
        <w:rPr>
          <w:sz w:val="24"/>
          <w:szCs w:val="24"/>
        </w:rPr>
        <w:t xml:space="preserve"> </w:t>
      </w:r>
      <w:r w:rsidR="00992153" w:rsidRPr="00431BA7">
        <w:rPr>
          <w:sz w:val="24"/>
          <w:szCs w:val="24"/>
        </w:rPr>
        <w:t>section 14 notification requirements</w:t>
      </w:r>
      <w:r w:rsidR="00D355F8" w:rsidRPr="00431BA7">
        <w:rPr>
          <w:sz w:val="24"/>
          <w:szCs w:val="24"/>
        </w:rPr>
        <w:t xml:space="preserve">, both under </w:t>
      </w:r>
      <w:r w:rsidR="004F73DB" w:rsidRPr="00431BA7">
        <w:rPr>
          <w:sz w:val="24"/>
          <w:szCs w:val="24"/>
        </w:rPr>
        <w:t xml:space="preserve">pre-Lautenberg </w:t>
      </w:r>
      <w:r w:rsidR="00D355F8" w:rsidRPr="00431BA7">
        <w:rPr>
          <w:sz w:val="24"/>
          <w:szCs w:val="24"/>
        </w:rPr>
        <w:t xml:space="preserve">TSCA and under </w:t>
      </w:r>
      <w:r w:rsidR="004F73DB" w:rsidRPr="00431BA7">
        <w:rPr>
          <w:sz w:val="24"/>
          <w:szCs w:val="24"/>
        </w:rPr>
        <w:t xml:space="preserve">the </w:t>
      </w:r>
      <w:r w:rsidR="00D355F8" w:rsidRPr="00431BA7">
        <w:rPr>
          <w:sz w:val="24"/>
          <w:szCs w:val="24"/>
        </w:rPr>
        <w:t>Lautenberg</w:t>
      </w:r>
      <w:r w:rsidR="004F73DB" w:rsidRPr="00431BA7">
        <w:rPr>
          <w:sz w:val="24"/>
          <w:szCs w:val="24"/>
        </w:rPr>
        <w:t xml:space="preserve"> amendments to TSCA</w:t>
      </w:r>
      <w:r w:rsidR="00CF35B0" w:rsidRPr="00431BA7">
        <w:rPr>
          <w:sz w:val="24"/>
          <w:szCs w:val="24"/>
        </w:rPr>
        <w:t>. This rule</w:t>
      </w:r>
      <w:r w:rsidR="009E79D1" w:rsidRPr="00431BA7">
        <w:rPr>
          <w:sz w:val="24"/>
          <w:szCs w:val="24"/>
        </w:rPr>
        <w:t>, and any specific TSCA reporting rules</w:t>
      </w:r>
      <w:r w:rsidR="003E4C6E" w:rsidRPr="00431BA7">
        <w:rPr>
          <w:sz w:val="24"/>
          <w:szCs w:val="24"/>
        </w:rPr>
        <w:t xml:space="preserve"> providing </w:t>
      </w:r>
      <w:r w:rsidR="00D355F8" w:rsidRPr="00431BA7">
        <w:rPr>
          <w:sz w:val="24"/>
          <w:szCs w:val="24"/>
        </w:rPr>
        <w:t>such disclosure</w:t>
      </w:r>
      <w:r w:rsidR="00953B83" w:rsidRPr="00431BA7">
        <w:rPr>
          <w:sz w:val="24"/>
          <w:szCs w:val="24"/>
        </w:rPr>
        <w:t xml:space="preserve">, such </w:t>
      </w:r>
      <w:r w:rsidR="00363252" w:rsidRPr="00431BA7">
        <w:rPr>
          <w:sz w:val="24"/>
          <w:szCs w:val="24"/>
        </w:rPr>
        <w:t xml:space="preserve">as </w:t>
      </w:r>
      <w:r w:rsidR="00324DC7" w:rsidRPr="00431BA7">
        <w:rPr>
          <w:sz w:val="24"/>
          <w:szCs w:val="24"/>
        </w:rPr>
        <w:t>40 CFR 711.30</w:t>
      </w:r>
      <w:r w:rsidR="00F240B4" w:rsidRPr="00431BA7">
        <w:rPr>
          <w:sz w:val="24"/>
          <w:szCs w:val="24"/>
        </w:rPr>
        <w:t xml:space="preserve">, </w:t>
      </w:r>
      <w:r w:rsidR="00953B83" w:rsidRPr="00431BA7">
        <w:rPr>
          <w:sz w:val="24"/>
          <w:szCs w:val="24"/>
        </w:rPr>
        <w:t>satisfy th</w:t>
      </w:r>
      <w:r w:rsidR="00B611E7" w:rsidRPr="00431BA7">
        <w:rPr>
          <w:sz w:val="24"/>
          <w:szCs w:val="24"/>
        </w:rPr>
        <w:t>e notice requirement of TSCA section 1</w:t>
      </w:r>
      <w:r w:rsidR="004E0541" w:rsidRPr="00431BA7">
        <w:rPr>
          <w:sz w:val="24"/>
          <w:szCs w:val="24"/>
        </w:rPr>
        <w:t>4(g)(2)</w:t>
      </w:r>
      <w:r w:rsidR="00693895" w:rsidRPr="00431BA7">
        <w:rPr>
          <w:sz w:val="24"/>
          <w:szCs w:val="24"/>
        </w:rPr>
        <w:t xml:space="preserve"> </w:t>
      </w:r>
      <w:r w:rsidR="001A59E4" w:rsidRPr="00431BA7">
        <w:rPr>
          <w:sz w:val="24"/>
          <w:szCs w:val="24"/>
        </w:rPr>
        <w:t xml:space="preserve">for </w:t>
      </w:r>
      <w:r w:rsidR="00693895" w:rsidRPr="00431BA7">
        <w:rPr>
          <w:sz w:val="24"/>
          <w:szCs w:val="24"/>
        </w:rPr>
        <w:t>waived claims</w:t>
      </w:r>
      <w:r w:rsidR="00953B83" w:rsidRPr="00431BA7">
        <w:rPr>
          <w:sz w:val="24"/>
          <w:szCs w:val="24"/>
        </w:rPr>
        <w:t>.</w:t>
      </w:r>
    </w:p>
    <w:p w14:paraId="11B221B1" w14:textId="2ADF7EF1" w:rsidR="00482F8A" w:rsidRPr="00431BA7" w:rsidRDefault="00805C2E" w:rsidP="002C4D8C">
      <w:pPr>
        <w:pStyle w:val="Heading2"/>
        <w:numPr>
          <w:ilvl w:val="0"/>
          <w:numId w:val="0"/>
        </w:numPr>
        <w:ind w:left="360" w:hanging="360"/>
      </w:pPr>
      <w:bookmarkStart w:id="12" w:name="_Toc132901184"/>
      <w:r w:rsidRPr="00431BA7">
        <w:t xml:space="preserve">Unit </w:t>
      </w:r>
      <w:r w:rsidR="00E401BF" w:rsidRPr="00431BA7">
        <w:t>6</w:t>
      </w:r>
      <w:r w:rsidRPr="00431BA7">
        <w:t>: Providing substantiation and substantiation questions (</w:t>
      </w:r>
      <w:r w:rsidR="00B6654E" w:rsidRPr="00431BA7">
        <w:t xml:space="preserve">40 CFR </w:t>
      </w:r>
      <w:r w:rsidRPr="00431BA7">
        <w:t>703.5(b))</w:t>
      </w:r>
      <w:bookmarkEnd w:id="12"/>
    </w:p>
    <w:p w14:paraId="020616BF" w14:textId="154E96CD" w:rsidR="008D0E0E" w:rsidRPr="00431BA7" w:rsidRDefault="008D0E0E" w:rsidP="00482F8A">
      <w:pPr>
        <w:rPr>
          <w:rFonts w:cstheme="minorHAnsi"/>
          <w:sz w:val="24"/>
          <w:szCs w:val="24"/>
        </w:rPr>
      </w:pPr>
      <w:r w:rsidRPr="00431BA7">
        <w:rPr>
          <w:rFonts w:cstheme="minorHAnsi"/>
          <w:b/>
          <w:bCs/>
          <w:sz w:val="24"/>
          <w:szCs w:val="24"/>
        </w:rPr>
        <w:t xml:space="preserve">Comment: </w:t>
      </w:r>
      <w:r w:rsidRPr="00431BA7">
        <w:rPr>
          <w:rFonts w:cstheme="minorHAnsi"/>
          <w:sz w:val="24"/>
          <w:szCs w:val="24"/>
        </w:rPr>
        <w:t xml:space="preserve">A few commenters were concerned that the allowance made for asserting claims and substantiating materials collected during a TSCA inspection was inadequate, suggesting a </w:t>
      </w:r>
      <w:r w:rsidRPr="00431BA7">
        <w:rPr>
          <w:rFonts w:cstheme="minorHAnsi"/>
          <w:sz w:val="24"/>
          <w:szCs w:val="24"/>
        </w:rPr>
        <w:lastRenderedPageBreak/>
        <w:t>longer period, such as 30 to 45 days to assert and substantiate claims.  Commenters also noted that clarification was needed on when an inspection is considered to have ended.</w:t>
      </w:r>
    </w:p>
    <w:p w14:paraId="76E0BA18" w14:textId="7E216DE1" w:rsidR="00607C87" w:rsidRPr="00431BA7" w:rsidRDefault="00607C87" w:rsidP="00482F8A">
      <w:pPr>
        <w:rPr>
          <w:rFonts w:cstheme="minorHAnsi"/>
          <w:sz w:val="24"/>
          <w:szCs w:val="24"/>
        </w:rPr>
      </w:pPr>
      <w:r w:rsidRPr="00431BA7">
        <w:rPr>
          <w:rFonts w:cstheme="minorHAnsi"/>
          <w:sz w:val="24"/>
          <w:szCs w:val="24"/>
        </w:rPr>
        <w:t xml:space="preserve">Source: </w:t>
      </w:r>
      <w:r w:rsidR="00342957" w:rsidRPr="00431BA7">
        <w:rPr>
          <w:rFonts w:cstheme="minorHAnsi"/>
          <w:sz w:val="24"/>
          <w:szCs w:val="24"/>
        </w:rPr>
        <w:t>-</w:t>
      </w:r>
      <w:r w:rsidRPr="00431BA7">
        <w:rPr>
          <w:rFonts w:cstheme="minorHAnsi"/>
          <w:sz w:val="24"/>
          <w:szCs w:val="24"/>
        </w:rPr>
        <w:t xml:space="preserve">0044; </w:t>
      </w:r>
      <w:r w:rsidR="00342957" w:rsidRPr="00431BA7">
        <w:rPr>
          <w:rFonts w:cstheme="minorHAnsi"/>
          <w:sz w:val="24"/>
          <w:szCs w:val="24"/>
        </w:rPr>
        <w:t>-</w:t>
      </w:r>
      <w:r w:rsidRPr="00431BA7">
        <w:rPr>
          <w:rFonts w:cstheme="minorHAnsi"/>
          <w:sz w:val="24"/>
          <w:szCs w:val="24"/>
        </w:rPr>
        <w:t xml:space="preserve">0046; </w:t>
      </w:r>
      <w:r w:rsidR="00342957" w:rsidRPr="00431BA7">
        <w:rPr>
          <w:rFonts w:cstheme="minorHAnsi"/>
          <w:sz w:val="24"/>
          <w:szCs w:val="24"/>
        </w:rPr>
        <w:t>-</w:t>
      </w:r>
      <w:r w:rsidRPr="00431BA7">
        <w:rPr>
          <w:rFonts w:cstheme="minorHAnsi"/>
          <w:sz w:val="24"/>
          <w:szCs w:val="24"/>
        </w:rPr>
        <w:t xml:space="preserve">0054; </w:t>
      </w:r>
      <w:r w:rsidR="00342957" w:rsidRPr="00431BA7">
        <w:rPr>
          <w:rFonts w:cstheme="minorHAnsi"/>
          <w:sz w:val="24"/>
          <w:szCs w:val="24"/>
        </w:rPr>
        <w:t>-</w:t>
      </w:r>
      <w:r w:rsidRPr="00431BA7">
        <w:rPr>
          <w:rFonts w:cstheme="minorHAnsi"/>
          <w:sz w:val="24"/>
          <w:szCs w:val="24"/>
        </w:rPr>
        <w:t>0053</w:t>
      </w:r>
    </w:p>
    <w:p w14:paraId="0AA438F9" w14:textId="6EC15421" w:rsidR="00D32E5E" w:rsidRPr="00431BA7" w:rsidRDefault="00060C02" w:rsidP="00D32E5E">
      <w:pPr>
        <w:rPr>
          <w:rFonts w:cstheme="minorHAnsi"/>
          <w:sz w:val="24"/>
          <w:szCs w:val="24"/>
        </w:rPr>
      </w:pPr>
      <w:r w:rsidRPr="00431BA7">
        <w:rPr>
          <w:rFonts w:cstheme="minorHAnsi"/>
          <w:b/>
          <w:bCs/>
          <w:sz w:val="24"/>
          <w:szCs w:val="24"/>
        </w:rPr>
        <w:t>Response</w:t>
      </w:r>
      <w:r w:rsidR="0039478C" w:rsidRPr="00431BA7">
        <w:rPr>
          <w:rFonts w:cstheme="minorHAnsi"/>
          <w:b/>
          <w:bCs/>
          <w:sz w:val="24"/>
          <w:szCs w:val="24"/>
        </w:rPr>
        <w:t>:</w:t>
      </w:r>
      <w:r w:rsidR="0039478C" w:rsidRPr="00431BA7">
        <w:rPr>
          <w:rFonts w:cstheme="minorHAnsi"/>
          <w:b/>
          <w:bCs/>
          <w:i/>
          <w:iCs/>
          <w:sz w:val="24"/>
          <w:szCs w:val="24"/>
        </w:rPr>
        <w:t xml:space="preserve"> </w:t>
      </w:r>
      <w:r w:rsidR="00482F8A" w:rsidRPr="00431BA7">
        <w:rPr>
          <w:rFonts w:cstheme="minorHAnsi"/>
          <w:b/>
          <w:bCs/>
          <w:sz w:val="24"/>
          <w:szCs w:val="24"/>
        </w:rPr>
        <w:t xml:space="preserve"> </w:t>
      </w:r>
      <w:r w:rsidR="00D32E5E" w:rsidRPr="00431BA7">
        <w:rPr>
          <w:rFonts w:cstheme="minorHAnsi"/>
          <w:sz w:val="24"/>
          <w:szCs w:val="24"/>
        </w:rPr>
        <w:t xml:space="preserve">For purposes of this provision, the inspection ends when the inspector physically exits the regulated facility’s property on the last day of the inspection. The day after the last day of the inspection is the first of ten days the company </w:t>
      </w:r>
      <w:proofErr w:type="gramStart"/>
      <w:r w:rsidR="00D32E5E" w:rsidRPr="00431BA7">
        <w:rPr>
          <w:rFonts w:cstheme="minorHAnsi"/>
          <w:sz w:val="24"/>
          <w:szCs w:val="24"/>
        </w:rPr>
        <w:t>has to</w:t>
      </w:r>
      <w:proofErr w:type="gramEnd"/>
      <w:r w:rsidR="00D32E5E" w:rsidRPr="00431BA7">
        <w:rPr>
          <w:rFonts w:cstheme="minorHAnsi"/>
          <w:sz w:val="24"/>
          <w:szCs w:val="24"/>
        </w:rPr>
        <w:t xml:space="preserve"> assert and substantiate claims. The Agency has discretion to provide additional time on a case-by-case basis (</w:t>
      </w:r>
      <w:proofErr w:type="gramStart"/>
      <w:r w:rsidR="00D32E5E" w:rsidRPr="00431BA7">
        <w:rPr>
          <w:rFonts w:cstheme="minorHAnsi"/>
          <w:sz w:val="24"/>
          <w:szCs w:val="24"/>
        </w:rPr>
        <w:t>e.g.</w:t>
      </w:r>
      <w:proofErr w:type="gramEnd"/>
      <w:r w:rsidR="00D32E5E" w:rsidRPr="00431BA7">
        <w:rPr>
          <w:rFonts w:cstheme="minorHAnsi"/>
          <w:sz w:val="24"/>
          <w:szCs w:val="24"/>
        </w:rPr>
        <w:t xml:space="preserve"> if claims are numerous or the documents involved are voluminous) but </w:t>
      </w:r>
      <w:r w:rsidR="00A6473E" w:rsidRPr="00431BA7">
        <w:rPr>
          <w:rFonts w:cstheme="minorHAnsi"/>
          <w:sz w:val="24"/>
          <w:szCs w:val="24"/>
        </w:rPr>
        <w:t>consider</w:t>
      </w:r>
      <w:r w:rsidR="006C7847" w:rsidRPr="00431BA7">
        <w:rPr>
          <w:rFonts w:cstheme="minorHAnsi"/>
          <w:sz w:val="24"/>
          <w:szCs w:val="24"/>
        </w:rPr>
        <w:t>s</w:t>
      </w:r>
      <w:r w:rsidR="00D32E5E" w:rsidRPr="00431BA7">
        <w:rPr>
          <w:rFonts w:cstheme="minorHAnsi"/>
          <w:sz w:val="24"/>
          <w:szCs w:val="24"/>
        </w:rPr>
        <w:t xml:space="preserve"> 10 days </w:t>
      </w:r>
      <w:r w:rsidR="006C7847" w:rsidRPr="00431BA7">
        <w:rPr>
          <w:rFonts w:cstheme="minorHAnsi"/>
          <w:sz w:val="24"/>
          <w:szCs w:val="24"/>
        </w:rPr>
        <w:t xml:space="preserve">to be </w:t>
      </w:r>
      <w:r w:rsidR="00D32E5E" w:rsidRPr="00431BA7">
        <w:rPr>
          <w:rFonts w:cstheme="minorHAnsi"/>
          <w:sz w:val="24"/>
          <w:szCs w:val="24"/>
        </w:rPr>
        <w:t>an acceptable and achievable timeframe in the majority of cases.</w:t>
      </w:r>
      <w:r w:rsidR="008A153F" w:rsidRPr="00431BA7">
        <w:rPr>
          <w:rFonts w:cstheme="minorHAnsi"/>
          <w:sz w:val="24"/>
          <w:szCs w:val="24"/>
        </w:rPr>
        <w:t xml:space="preserve">  The final rule clarifies these points.</w:t>
      </w:r>
    </w:p>
    <w:p w14:paraId="519D2F2F" w14:textId="0FC8B5F2" w:rsidR="005C7B6F" w:rsidRPr="00431BA7" w:rsidRDefault="005C7B6F" w:rsidP="000140FB">
      <w:pPr>
        <w:rPr>
          <w:rFonts w:cstheme="minorHAnsi"/>
          <w:sz w:val="24"/>
          <w:szCs w:val="24"/>
        </w:rPr>
      </w:pPr>
      <w:r w:rsidRPr="00431BA7">
        <w:rPr>
          <w:rFonts w:cstheme="minorHAnsi"/>
          <w:b/>
          <w:bCs/>
          <w:sz w:val="24"/>
          <w:szCs w:val="24"/>
        </w:rPr>
        <w:t>Comment</w:t>
      </w:r>
      <w:r w:rsidRPr="00431BA7">
        <w:rPr>
          <w:rFonts w:cstheme="minorHAnsi"/>
          <w:sz w:val="24"/>
          <w:szCs w:val="24"/>
        </w:rPr>
        <w:t xml:space="preserve">: </w:t>
      </w:r>
      <w:r w:rsidR="00C02F5A" w:rsidRPr="00431BA7">
        <w:rPr>
          <w:rFonts w:cstheme="minorHAnsi"/>
          <w:sz w:val="24"/>
          <w:szCs w:val="24"/>
        </w:rPr>
        <w:t xml:space="preserve">One </w:t>
      </w:r>
      <w:r w:rsidRPr="00431BA7">
        <w:rPr>
          <w:rFonts w:cstheme="minorHAnsi"/>
          <w:sz w:val="24"/>
          <w:szCs w:val="24"/>
        </w:rPr>
        <w:t xml:space="preserve">commenter suggested that EPA exempt </w:t>
      </w:r>
      <w:r w:rsidR="00C02F5A" w:rsidRPr="00431BA7">
        <w:rPr>
          <w:rFonts w:cstheme="minorHAnsi"/>
          <w:sz w:val="24"/>
          <w:szCs w:val="24"/>
        </w:rPr>
        <w:t>“</w:t>
      </w:r>
      <w:r w:rsidRPr="00431BA7">
        <w:rPr>
          <w:rFonts w:cstheme="minorHAnsi"/>
          <w:sz w:val="24"/>
          <w:szCs w:val="24"/>
        </w:rPr>
        <w:t>personal identifying information</w:t>
      </w:r>
      <w:r w:rsidR="00C02F5A" w:rsidRPr="00431BA7">
        <w:rPr>
          <w:rFonts w:cstheme="minorHAnsi"/>
          <w:sz w:val="24"/>
          <w:szCs w:val="24"/>
        </w:rPr>
        <w:t>”</w:t>
      </w:r>
      <w:r w:rsidRPr="00431BA7">
        <w:rPr>
          <w:rFonts w:cstheme="minorHAnsi"/>
          <w:sz w:val="24"/>
          <w:szCs w:val="24"/>
        </w:rPr>
        <w:t xml:space="preserve"> from substantiation requirements</w:t>
      </w:r>
      <w:r w:rsidR="00C02F5A" w:rsidRPr="00431BA7">
        <w:rPr>
          <w:rFonts w:cstheme="minorHAnsi"/>
          <w:sz w:val="24"/>
          <w:szCs w:val="24"/>
        </w:rPr>
        <w:t>.</w:t>
      </w:r>
    </w:p>
    <w:p w14:paraId="67EE1613" w14:textId="351D8C68" w:rsidR="00607C87" w:rsidRPr="00431BA7" w:rsidRDefault="00607C87" w:rsidP="000140FB">
      <w:pPr>
        <w:rPr>
          <w:rFonts w:cstheme="minorHAnsi"/>
          <w:sz w:val="24"/>
          <w:szCs w:val="24"/>
        </w:rPr>
      </w:pPr>
      <w:r w:rsidRPr="00431BA7">
        <w:rPr>
          <w:rFonts w:cstheme="minorHAnsi"/>
          <w:sz w:val="24"/>
          <w:szCs w:val="24"/>
        </w:rPr>
        <w:t xml:space="preserve">Source: </w:t>
      </w:r>
      <w:r w:rsidR="00342957" w:rsidRPr="00431BA7">
        <w:rPr>
          <w:rFonts w:cstheme="minorHAnsi"/>
          <w:sz w:val="24"/>
          <w:szCs w:val="24"/>
        </w:rPr>
        <w:t>-</w:t>
      </w:r>
      <w:r w:rsidRPr="00431BA7">
        <w:rPr>
          <w:rFonts w:cstheme="minorHAnsi"/>
          <w:sz w:val="24"/>
          <w:szCs w:val="24"/>
        </w:rPr>
        <w:t>0044</w:t>
      </w:r>
    </w:p>
    <w:p w14:paraId="0B62CC26" w14:textId="3632F6CB" w:rsidR="0022029C" w:rsidRPr="00431BA7" w:rsidRDefault="00060C02" w:rsidP="000140FB">
      <w:pPr>
        <w:rPr>
          <w:rFonts w:cstheme="minorHAnsi"/>
          <w:sz w:val="24"/>
          <w:szCs w:val="24"/>
        </w:rPr>
      </w:pPr>
      <w:r w:rsidRPr="00431BA7">
        <w:rPr>
          <w:rFonts w:cstheme="minorHAnsi"/>
          <w:b/>
          <w:bCs/>
          <w:sz w:val="24"/>
          <w:szCs w:val="24"/>
        </w:rPr>
        <w:t>Response</w:t>
      </w:r>
      <w:r w:rsidR="005C7B6F" w:rsidRPr="00431BA7">
        <w:rPr>
          <w:rFonts w:cstheme="minorHAnsi"/>
          <w:sz w:val="24"/>
          <w:szCs w:val="24"/>
        </w:rPr>
        <w:t xml:space="preserve">:  </w:t>
      </w:r>
      <w:r w:rsidR="001500BC" w:rsidRPr="00431BA7">
        <w:rPr>
          <w:rFonts w:cstheme="minorHAnsi"/>
          <w:sz w:val="24"/>
          <w:szCs w:val="24"/>
        </w:rPr>
        <w:t>I</w:t>
      </w:r>
      <w:r w:rsidR="005C7B6F" w:rsidRPr="00431BA7">
        <w:rPr>
          <w:rFonts w:cstheme="minorHAnsi"/>
          <w:sz w:val="24"/>
          <w:szCs w:val="24"/>
        </w:rPr>
        <w:t>nformation that qualifies for protection from disclosure under other laws</w:t>
      </w:r>
      <w:r w:rsidR="008F0727" w:rsidRPr="00431BA7">
        <w:rPr>
          <w:rFonts w:cstheme="minorHAnsi"/>
          <w:sz w:val="24"/>
          <w:szCs w:val="24"/>
        </w:rPr>
        <w:t xml:space="preserve"> (e.g., FOIA exemption 6 personal privacy information</w:t>
      </w:r>
      <w:r w:rsidR="000A13AC" w:rsidRPr="00431BA7">
        <w:rPr>
          <w:rFonts w:cstheme="minorHAnsi"/>
          <w:sz w:val="24"/>
          <w:szCs w:val="24"/>
        </w:rPr>
        <w:t>)</w:t>
      </w:r>
      <w:r w:rsidR="004271F5" w:rsidRPr="00431BA7">
        <w:rPr>
          <w:rFonts w:cstheme="minorHAnsi"/>
          <w:sz w:val="24"/>
          <w:szCs w:val="24"/>
        </w:rPr>
        <w:t xml:space="preserve"> </w:t>
      </w:r>
      <w:r w:rsidR="007941F3" w:rsidRPr="00431BA7">
        <w:rPr>
          <w:rFonts w:cstheme="minorHAnsi"/>
          <w:sz w:val="24"/>
          <w:szCs w:val="24"/>
        </w:rPr>
        <w:t>is</w:t>
      </w:r>
      <w:r w:rsidR="004271F5" w:rsidRPr="00431BA7">
        <w:rPr>
          <w:rFonts w:cstheme="minorHAnsi"/>
          <w:sz w:val="24"/>
          <w:szCs w:val="24"/>
        </w:rPr>
        <w:t xml:space="preserve"> still eligible for protection under those laws </w:t>
      </w:r>
      <w:r w:rsidR="000A13AC" w:rsidRPr="00431BA7">
        <w:rPr>
          <w:rFonts w:cstheme="minorHAnsi"/>
          <w:sz w:val="24"/>
          <w:szCs w:val="24"/>
        </w:rPr>
        <w:t>even</w:t>
      </w:r>
      <w:r w:rsidR="004271F5" w:rsidRPr="00431BA7">
        <w:rPr>
          <w:rFonts w:cstheme="minorHAnsi"/>
          <w:sz w:val="24"/>
          <w:szCs w:val="24"/>
        </w:rPr>
        <w:t xml:space="preserve"> </w:t>
      </w:r>
      <w:r w:rsidR="00C1006F" w:rsidRPr="00431BA7">
        <w:rPr>
          <w:rFonts w:cstheme="minorHAnsi"/>
          <w:sz w:val="24"/>
          <w:szCs w:val="24"/>
        </w:rPr>
        <w:t>if</w:t>
      </w:r>
      <w:r w:rsidR="004271F5" w:rsidRPr="00431BA7">
        <w:rPr>
          <w:rFonts w:cstheme="minorHAnsi"/>
          <w:sz w:val="24"/>
          <w:szCs w:val="24"/>
        </w:rPr>
        <w:t xml:space="preserve"> TSCA CBI protection</w:t>
      </w:r>
      <w:r w:rsidR="008F0727" w:rsidRPr="00431BA7">
        <w:rPr>
          <w:rFonts w:cstheme="minorHAnsi"/>
          <w:sz w:val="24"/>
          <w:szCs w:val="24"/>
        </w:rPr>
        <w:t xml:space="preserve"> is not available</w:t>
      </w:r>
      <w:r w:rsidR="00C94C86" w:rsidRPr="00431BA7">
        <w:rPr>
          <w:rFonts w:cstheme="minorHAnsi"/>
          <w:sz w:val="24"/>
          <w:szCs w:val="24"/>
        </w:rPr>
        <w:t>,</w:t>
      </w:r>
      <w:r w:rsidR="000A13AC" w:rsidRPr="00431BA7">
        <w:rPr>
          <w:rFonts w:cstheme="minorHAnsi"/>
          <w:sz w:val="24"/>
          <w:szCs w:val="24"/>
        </w:rPr>
        <w:t xml:space="preserve"> unless TSCA expressly requires disclosure of that information</w:t>
      </w:r>
      <w:r w:rsidR="00CB644E" w:rsidRPr="00431BA7">
        <w:rPr>
          <w:rFonts w:cstheme="minorHAnsi"/>
          <w:sz w:val="24"/>
          <w:szCs w:val="24"/>
        </w:rPr>
        <w:t xml:space="preserve"> (see, e.g., TSCA section 26(j)</w:t>
      </w:r>
      <w:r w:rsidR="00B72C1E" w:rsidRPr="00431BA7">
        <w:rPr>
          <w:rFonts w:cstheme="minorHAnsi"/>
          <w:sz w:val="24"/>
          <w:szCs w:val="24"/>
        </w:rPr>
        <w:t>).</w:t>
      </w:r>
      <w:r w:rsidR="000A13AC" w:rsidRPr="00431BA7">
        <w:rPr>
          <w:rFonts w:cstheme="minorHAnsi"/>
          <w:sz w:val="24"/>
          <w:szCs w:val="24"/>
        </w:rPr>
        <w:t xml:space="preserve"> </w:t>
      </w:r>
      <w:r w:rsidR="00377CBA" w:rsidRPr="00431BA7">
        <w:rPr>
          <w:rFonts w:cstheme="minorHAnsi"/>
          <w:sz w:val="24"/>
          <w:szCs w:val="24"/>
        </w:rPr>
        <w:t xml:space="preserve">That said, </w:t>
      </w:r>
      <w:r w:rsidR="00724C2A" w:rsidRPr="00431BA7">
        <w:rPr>
          <w:rFonts w:cstheme="minorHAnsi"/>
          <w:sz w:val="24"/>
          <w:szCs w:val="24"/>
        </w:rPr>
        <w:t>TSCA Section 14(c)</w:t>
      </w:r>
      <w:r w:rsidR="00E230D6" w:rsidRPr="00431BA7">
        <w:rPr>
          <w:rFonts w:cstheme="minorHAnsi"/>
          <w:sz w:val="24"/>
          <w:szCs w:val="24"/>
        </w:rPr>
        <w:t>(1)</w:t>
      </w:r>
      <w:r w:rsidR="00724C2A" w:rsidRPr="00431BA7">
        <w:rPr>
          <w:rFonts w:cstheme="minorHAnsi"/>
          <w:sz w:val="24"/>
          <w:szCs w:val="24"/>
        </w:rPr>
        <w:t xml:space="preserve"> requires that CBI claims be substantiated at the time of submission, and </w:t>
      </w:r>
      <w:r w:rsidR="00274AE9" w:rsidRPr="00431BA7">
        <w:rPr>
          <w:rFonts w:cstheme="minorHAnsi"/>
          <w:sz w:val="24"/>
          <w:szCs w:val="24"/>
        </w:rPr>
        <w:t>TSCA Section 14(c)(2)</w:t>
      </w:r>
      <w:r w:rsidR="00E230D6" w:rsidRPr="00431BA7">
        <w:rPr>
          <w:rFonts w:cstheme="minorHAnsi"/>
          <w:sz w:val="24"/>
          <w:szCs w:val="24"/>
        </w:rPr>
        <w:t xml:space="preserve"> establishes what information can be exempt from substantiation. Personal privacy information is not a category of information listed in Section 14(c)(2). Therefore, the Agency cannot consider such information exempt from substantiation under TSCA</w:t>
      </w:r>
      <w:r w:rsidR="00554851" w:rsidRPr="00431BA7">
        <w:rPr>
          <w:rFonts w:cstheme="minorHAnsi"/>
          <w:sz w:val="24"/>
          <w:szCs w:val="24"/>
        </w:rPr>
        <w:t xml:space="preserve"> as the commenter suggests</w:t>
      </w:r>
      <w:r w:rsidR="00E230D6" w:rsidRPr="00431BA7">
        <w:rPr>
          <w:rFonts w:cstheme="minorHAnsi"/>
          <w:sz w:val="24"/>
          <w:szCs w:val="24"/>
        </w:rPr>
        <w:t xml:space="preserve">. </w:t>
      </w:r>
    </w:p>
    <w:p w14:paraId="40337BF2" w14:textId="2BE6B3CC" w:rsidR="00977E16" w:rsidRPr="00431BA7" w:rsidRDefault="00554851" w:rsidP="000140FB">
      <w:pPr>
        <w:rPr>
          <w:rFonts w:cstheme="minorHAnsi"/>
          <w:sz w:val="24"/>
          <w:szCs w:val="24"/>
        </w:rPr>
      </w:pPr>
      <w:r w:rsidRPr="00431BA7">
        <w:rPr>
          <w:rFonts w:cstheme="minorHAnsi"/>
          <w:sz w:val="24"/>
          <w:szCs w:val="24"/>
        </w:rPr>
        <w:t xml:space="preserve">However, </w:t>
      </w:r>
      <w:r w:rsidR="006846DE" w:rsidRPr="00431BA7">
        <w:rPr>
          <w:rFonts w:cstheme="minorHAnsi"/>
          <w:sz w:val="24"/>
          <w:szCs w:val="24"/>
        </w:rPr>
        <w:t>a</w:t>
      </w:r>
      <w:r w:rsidR="00C370BE" w:rsidRPr="00431BA7">
        <w:rPr>
          <w:rFonts w:cstheme="minorHAnsi"/>
          <w:sz w:val="24"/>
          <w:szCs w:val="24"/>
        </w:rPr>
        <w:t xml:space="preserve"> submitter </w:t>
      </w:r>
      <w:r w:rsidR="00EB476C" w:rsidRPr="00431BA7">
        <w:rPr>
          <w:rFonts w:cstheme="minorHAnsi"/>
          <w:sz w:val="24"/>
          <w:szCs w:val="24"/>
        </w:rPr>
        <w:t>may</w:t>
      </w:r>
      <w:r w:rsidR="00C370BE" w:rsidRPr="00431BA7">
        <w:rPr>
          <w:rFonts w:cstheme="minorHAnsi"/>
          <w:sz w:val="24"/>
          <w:szCs w:val="24"/>
        </w:rPr>
        <w:t xml:space="preserve"> assert </w:t>
      </w:r>
      <w:r w:rsidR="007A7013" w:rsidRPr="00431BA7">
        <w:rPr>
          <w:rFonts w:cstheme="minorHAnsi"/>
          <w:sz w:val="24"/>
          <w:szCs w:val="24"/>
        </w:rPr>
        <w:t xml:space="preserve">and substantiate </w:t>
      </w:r>
      <w:r w:rsidRPr="00431BA7">
        <w:rPr>
          <w:rFonts w:cstheme="minorHAnsi"/>
          <w:sz w:val="24"/>
          <w:szCs w:val="24"/>
        </w:rPr>
        <w:t xml:space="preserve">a </w:t>
      </w:r>
      <w:r w:rsidR="00C370BE" w:rsidRPr="00431BA7">
        <w:rPr>
          <w:rFonts w:cstheme="minorHAnsi"/>
          <w:sz w:val="24"/>
          <w:szCs w:val="24"/>
        </w:rPr>
        <w:t>business confidentiality</w:t>
      </w:r>
      <w:r w:rsidR="006846DE" w:rsidRPr="00431BA7">
        <w:rPr>
          <w:rFonts w:cstheme="minorHAnsi"/>
          <w:sz w:val="24"/>
          <w:szCs w:val="24"/>
        </w:rPr>
        <w:t xml:space="preserve"> </w:t>
      </w:r>
      <w:r w:rsidRPr="00431BA7">
        <w:rPr>
          <w:rFonts w:cstheme="minorHAnsi"/>
          <w:sz w:val="24"/>
          <w:szCs w:val="24"/>
        </w:rPr>
        <w:t>claim</w:t>
      </w:r>
      <w:r w:rsidR="006846DE" w:rsidRPr="00431BA7">
        <w:rPr>
          <w:rFonts w:cstheme="minorHAnsi"/>
          <w:sz w:val="24"/>
          <w:szCs w:val="24"/>
        </w:rPr>
        <w:t xml:space="preserve"> for this </w:t>
      </w:r>
      <w:r w:rsidR="007A7013" w:rsidRPr="00431BA7">
        <w:rPr>
          <w:rFonts w:cstheme="minorHAnsi"/>
          <w:sz w:val="24"/>
          <w:szCs w:val="24"/>
        </w:rPr>
        <w:t xml:space="preserve">category </w:t>
      </w:r>
      <w:r w:rsidR="00114DC2" w:rsidRPr="00431BA7">
        <w:rPr>
          <w:rFonts w:cstheme="minorHAnsi"/>
          <w:sz w:val="24"/>
          <w:szCs w:val="24"/>
        </w:rPr>
        <w:t xml:space="preserve">of </w:t>
      </w:r>
      <w:r w:rsidR="006846DE" w:rsidRPr="00431BA7">
        <w:rPr>
          <w:rFonts w:cstheme="minorHAnsi"/>
          <w:sz w:val="24"/>
          <w:szCs w:val="24"/>
        </w:rPr>
        <w:t>information</w:t>
      </w:r>
      <w:r w:rsidR="002F1FE4" w:rsidRPr="00431BA7">
        <w:rPr>
          <w:rFonts w:cstheme="minorHAnsi"/>
          <w:sz w:val="24"/>
          <w:szCs w:val="24"/>
        </w:rPr>
        <w:t>.</w:t>
      </w:r>
      <w:r w:rsidR="00965F6A" w:rsidRPr="00431BA7">
        <w:rPr>
          <w:rFonts w:cstheme="minorHAnsi"/>
          <w:sz w:val="24"/>
          <w:szCs w:val="24"/>
        </w:rPr>
        <w:t xml:space="preserve"> </w:t>
      </w:r>
      <w:r w:rsidR="00043F74" w:rsidRPr="00431BA7">
        <w:rPr>
          <w:rFonts w:cstheme="minorHAnsi"/>
          <w:sz w:val="24"/>
          <w:szCs w:val="24"/>
        </w:rPr>
        <w:t>Persons including personal information in TSCA submissions should consider whether a CBI claim is appropriate for th</w:t>
      </w:r>
      <w:r w:rsidR="00965F6A" w:rsidRPr="00431BA7">
        <w:rPr>
          <w:rFonts w:cstheme="minorHAnsi"/>
          <w:sz w:val="24"/>
          <w:szCs w:val="24"/>
        </w:rPr>
        <w:t>e</w:t>
      </w:r>
      <w:r w:rsidR="00043F74" w:rsidRPr="00431BA7">
        <w:rPr>
          <w:rFonts w:cstheme="minorHAnsi"/>
          <w:sz w:val="24"/>
          <w:szCs w:val="24"/>
        </w:rPr>
        <w:t xml:space="preserve"> information and support any such claim with substantiation</w:t>
      </w:r>
      <w:r w:rsidR="00211E29" w:rsidRPr="00431BA7">
        <w:rPr>
          <w:rFonts w:cstheme="minorHAnsi"/>
          <w:sz w:val="24"/>
          <w:szCs w:val="24"/>
        </w:rPr>
        <w:t xml:space="preserve"> under the</w:t>
      </w:r>
      <w:r w:rsidR="00883F02" w:rsidRPr="00431BA7">
        <w:rPr>
          <w:rFonts w:cstheme="minorHAnsi"/>
          <w:sz w:val="24"/>
          <w:szCs w:val="24"/>
        </w:rPr>
        <w:t xml:space="preserve"> CBI criteria established in 40 CFR 703.7</w:t>
      </w:r>
      <w:r w:rsidR="00043F74" w:rsidRPr="00431BA7">
        <w:rPr>
          <w:rFonts w:cstheme="minorHAnsi"/>
          <w:sz w:val="24"/>
          <w:szCs w:val="24"/>
        </w:rPr>
        <w:t xml:space="preserve">.  </w:t>
      </w:r>
      <w:proofErr w:type="gramStart"/>
      <w:r w:rsidR="00043F74" w:rsidRPr="00431BA7">
        <w:rPr>
          <w:rFonts w:cstheme="minorHAnsi"/>
          <w:sz w:val="24"/>
          <w:szCs w:val="24"/>
        </w:rPr>
        <w:t>As long as</w:t>
      </w:r>
      <w:proofErr w:type="gramEnd"/>
      <w:r w:rsidR="00043F74" w:rsidRPr="00431BA7">
        <w:rPr>
          <w:rFonts w:cstheme="minorHAnsi"/>
          <w:sz w:val="24"/>
          <w:szCs w:val="24"/>
        </w:rPr>
        <w:t xml:space="preserve"> the information </w:t>
      </w:r>
      <w:r w:rsidR="007F5D04" w:rsidRPr="00431BA7">
        <w:rPr>
          <w:rFonts w:cstheme="minorHAnsi"/>
          <w:sz w:val="24"/>
          <w:szCs w:val="24"/>
        </w:rPr>
        <w:t>remains eligible for</w:t>
      </w:r>
      <w:r w:rsidR="00F31A7C" w:rsidRPr="00431BA7">
        <w:rPr>
          <w:rFonts w:cstheme="minorHAnsi"/>
          <w:sz w:val="24"/>
          <w:szCs w:val="24"/>
        </w:rPr>
        <w:t xml:space="preserve"> business confidentiality under section 14</w:t>
      </w:r>
      <w:r w:rsidR="00043F74" w:rsidRPr="00431BA7">
        <w:rPr>
          <w:rFonts w:cstheme="minorHAnsi"/>
          <w:sz w:val="24"/>
          <w:szCs w:val="24"/>
        </w:rPr>
        <w:t xml:space="preserve">, EPA would not </w:t>
      </w:r>
      <w:r w:rsidR="00965F6A" w:rsidRPr="00431BA7">
        <w:rPr>
          <w:rFonts w:cstheme="minorHAnsi"/>
          <w:sz w:val="24"/>
          <w:szCs w:val="24"/>
        </w:rPr>
        <w:t>publicly disclose it</w:t>
      </w:r>
      <w:r w:rsidR="0039213F" w:rsidRPr="00431BA7">
        <w:rPr>
          <w:rFonts w:cstheme="minorHAnsi"/>
          <w:sz w:val="24"/>
          <w:szCs w:val="24"/>
        </w:rPr>
        <w:t xml:space="preserve"> (with</w:t>
      </w:r>
      <w:r w:rsidR="00736143" w:rsidRPr="00431BA7">
        <w:rPr>
          <w:rFonts w:cstheme="minorHAnsi"/>
          <w:sz w:val="24"/>
          <w:szCs w:val="24"/>
        </w:rPr>
        <w:t xml:space="preserve"> potentially</w:t>
      </w:r>
      <w:r w:rsidR="0039213F" w:rsidRPr="00431BA7">
        <w:rPr>
          <w:rFonts w:cstheme="minorHAnsi"/>
          <w:sz w:val="24"/>
          <w:szCs w:val="24"/>
        </w:rPr>
        <w:t xml:space="preserve"> limited exceptions </w:t>
      </w:r>
      <w:r w:rsidR="00E4284B" w:rsidRPr="00431BA7">
        <w:rPr>
          <w:rFonts w:cstheme="minorHAnsi"/>
          <w:sz w:val="24"/>
          <w:szCs w:val="24"/>
        </w:rPr>
        <w:t xml:space="preserve">under </w:t>
      </w:r>
      <w:r w:rsidR="00736143" w:rsidRPr="00431BA7">
        <w:rPr>
          <w:rFonts w:cstheme="minorHAnsi"/>
          <w:sz w:val="24"/>
          <w:szCs w:val="24"/>
        </w:rPr>
        <w:t>section 14(d))</w:t>
      </w:r>
      <w:r w:rsidR="00043F74" w:rsidRPr="00431BA7">
        <w:rPr>
          <w:rFonts w:cstheme="minorHAnsi"/>
          <w:sz w:val="24"/>
          <w:szCs w:val="24"/>
        </w:rPr>
        <w:t xml:space="preserve">.  </w:t>
      </w:r>
    </w:p>
    <w:p w14:paraId="6D9721A7" w14:textId="682FD949" w:rsidR="005C7B6F" w:rsidRPr="00431BA7" w:rsidRDefault="00965F6A" w:rsidP="000140FB">
      <w:pPr>
        <w:rPr>
          <w:rFonts w:cstheme="minorHAnsi"/>
          <w:sz w:val="24"/>
          <w:szCs w:val="24"/>
        </w:rPr>
      </w:pPr>
      <w:r w:rsidRPr="00431BA7">
        <w:rPr>
          <w:rFonts w:cstheme="minorHAnsi"/>
          <w:sz w:val="24"/>
          <w:szCs w:val="24"/>
        </w:rPr>
        <w:t>While the Agency does not consider all personal</w:t>
      </w:r>
      <w:r w:rsidR="00B439E0" w:rsidRPr="00431BA7">
        <w:rPr>
          <w:rFonts w:cstheme="minorHAnsi"/>
          <w:sz w:val="24"/>
          <w:szCs w:val="24"/>
        </w:rPr>
        <w:t>ly</w:t>
      </w:r>
      <w:r w:rsidRPr="00431BA7">
        <w:rPr>
          <w:rFonts w:cstheme="minorHAnsi"/>
          <w:sz w:val="24"/>
          <w:szCs w:val="24"/>
        </w:rPr>
        <w:t xml:space="preserve"> identif</w:t>
      </w:r>
      <w:r w:rsidR="00B439E0" w:rsidRPr="00431BA7">
        <w:rPr>
          <w:rFonts w:cstheme="minorHAnsi"/>
          <w:sz w:val="24"/>
          <w:szCs w:val="24"/>
        </w:rPr>
        <w:t>iable</w:t>
      </w:r>
      <w:r w:rsidRPr="00431BA7">
        <w:rPr>
          <w:rFonts w:cstheme="minorHAnsi"/>
          <w:sz w:val="24"/>
          <w:szCs w:val="24"/>
        </w:rPr>
        <w:t xml:space="preserve"> information included in TSCA submissions provided in relation to an individual’s work to be eligible for personal privacy protection under FOIA exemption 6, </w:t>
      </w:r>
      <w:r w:rsidR="00075062" w:rsidRPr="00431BA7">
        <w:rPr>
          <w:rFonts w:cstheme="minorHAnsi"/>
          <w:sz w:val="24"/>
          <w:szCs w:val="24"/>
        </w:rPr>
        <w:t xml:space="preserve">the Agency will consider this exemption, along with all other </w:t>
      </w:r>
      <w:r w:rsidR="00A00BD0" w:rsidRPr="00431BA7">
        <w:rPr>
          <w:rFonts w:cstheme="minorHAnsi"/>
          <w:sz w:val="24"/>
          <w:szCs w:val="24"/>
        </w:rPr>
        <w:t xml:space="preserve">applicable </w:t>
      </w:r>
      <w:r w:rsidR="00075062" w:rsidRPr="00431BA7">
        <w:rPr>
          <w:rFonts w:cstheme="minorHAnsi"/>
          <w:sz w:val="24"/>
          <w:szCs w:val="24"/>
        </w:rPr>
        <w:t>FOIA exemptions,</w:t>
      </w:r>
      <w:r w:rsidR="00043F74" w:rsidRPr="00431BA7">
        <w:rPr>
          <w:rFonts w:cstheme="minorHAnsi"/>
          <w:sz w:val="24"/>
          <w:szCs w:val="24"/>
        </w:rPr>
        <w:t xml:space="preserve"> </w:t>
      </w:r>
      <w:r w:rsidR="005F19D6" w:rsidRPr="00431BA7">
        <w:rPr>
          <w:rFonts w:cstheme="minorHAnsi"/>
          <w:sz w:val="24"/>
          <w:szCs w:val="24"/>
        </w:rPr>
        <w:t xml:space="preserve">in the event </w:t>
      </w:r>
      <w:r w:rsidR="00275023" w:rsidRPr="00431BA7">
        <w:rPr>
          <w:rFonts w:cstheme="minorHAnsi"/>
          <w:sz w:val="24"/>
          <w:szCs w:val="24"/>
        </w:rPr>
        <w:t>the information</w:t>
      </w:r>
      <w:r w:rsidR="005F19D6" w:rsidRPr="00431BA7">
        <w:rPr>
          <w:rFonts w:cstheme="minorHAnsi"/>
          <w:sz w:val="24"/>
          <w:szCs w:val="24"/>
        </w:rPr>
        <w:t xml:space="preserve"> is subject to a FOIA request</w:t>
      </w:r>
      <w:r w:rsidR="00043F74" w:rsidRPr="00431BA7">
        <w:rPr>
          <w:rFonts w:cstheme="minorHAnsi"/>
          <w:sz w:val="24"/>
          <w:szCs w:val="24"/>
        </w:rPr>
        <w:t xml:space="preserve">.  </w:t>
      </w:r>
    </w:p>
    <w:p w14:paraId="20DA7CC6" w14:textId="0AD87883" w:rsidR="00C02F5A" w:rsidRPr="00431BA7" w:rsidRDefault="00C02F5A" w:rsidP="00C02F5A">
      <w:pPr>
        <w:rPr>
          <w:rFonts w:cstheme="minorHAnsi"/>
          <w:sz w:val="24"/>
          <w:szCs w:val="24"/>
        </w:rPr>
      </w:pPr>
      <w:r w:rsidRPr="00431BA7">
        <w:rPr>
          <w:rFonts w:cstheme="minorHAnsi"/>
          <w:b/>
          <w:bCs/>
          <w:sz w:val="24"/>
          <w:szCs w:val="24"/>
        </w:rPr>
        <w:t>Comment</w:t>
      </w:r>
      <w:r w:rsidRPr="00431BA7">
        <w:rPr>
          <w:rFonts w:cstheme="minorHAnsi"/>
          <w:sz w:val="24"/>
          <w:szCs w:val="24"/>
        </w:rPr>
        <w:t>: One commenter suggested that EPA limit the number of times per year the same claim would need to be substantiated by allowing cross-references to the prior substantiation and any approval determination.</w:t>
      </w:r>
    </w:p>
    <w:p w14:paraId="78F17A76" w14:textId="77777777" w:rsidR="00C02F5A" w:rsidRPr="00431BA7" w:rsidRDefault="00C02F5A" w:rsidP="00C02F5A">
      <w:pPr>
        <w:rPr>
          <w:rFonts w:cstheme="minorHAnsi"/>
          <w:sz w:val="24"/>
          <w:szCs w:val="24"/>
        </w:rPr>
      </w:pPr>
      <w:r w:rsidRPr="00431BA7">
        <w:rPr>
          <w:rFonts w:cstheme="minorHAnsi"/>
          <w:sz w:val="24"/>
          <w:szCs w:val="24"/>
        </w:rPr>
        <w:t>Source: -0044</w:t>
      </w:r>
    </w:p>
    <w:p w14:paraId="033359AB" w14:textId="6D8BC9B8" w:rsidR="00C02F5A" w:rsidRPr="00431BA7" w:rsidRDefault="00C02F5A" w:rsidP="00C02F5A">
      <w:pPr>
        <w:rPr>
          <w:sz w:val="24"/>
          <w:szCs w:val="24"/>
        </w:rPr>
      </w:pPr>
      <w:r w:rsidRPr="00431BA7">
        <w:rPr>
          <w:rFonts w:cstheme="minorHAnsi"/>
          <w:b/>
          <w:bCs/>
          <w:sz w:val="24"/>
          <w:szCs w:val="24"/>
        </w:rPr>
        <w:lastRenderedPageBreak/>
        <w:t>Response</w:t>
      </w:r>
      <w:r w:rsidRPr="00431BA7">
        <w:rPr>
          <w:rFonts w:cstheme="minorHAnsi"/>
          <w:sz w:val="24"/>
          <w:szCs w:val="24"/>
        </w:rPr>
        <w:t xml:space="preserve">:  </w:t>
      </w:r>
      <w:r w:rsidRPr="00431BA7">
        <w:rPr>
          <w:sz w:val="24"/>
          <w:szCs w:val="24"/>
        </w:rPr>
        <w:t>While cautioning that EPA generally considers CBI claims to be submission-specific, and that the substantiation for CBI claims must be appropriate for each claim to which it is applied, it is generally acceptable to reuse substantiation responses for what is essentially the same claim.  This is explicitly permitted in certain rules, such as in the Review Plan Rule (40 CFR 710.43).  The submitter wishing to reuse previously provided CBI substantiation must take care to identify the previously provided substantiation (including submission number, submission date, etc.) and the specific claims to which they would like to apply the previously provided substantiation. Typically, previously provided substantiations should only be reused when the new submission consists of a new iteration of the same information that was claimed and substantiated in the previously provided submission. Before a previously provided substantiation is applied to a new submission of similar information, the submitter should consider whether it is aware of any changes in circumstances surrounding its treatment of the information since the initial submission, any external releases of the information during that time, and that all substantiation responses previously provided still apply the same way to the information claimed in the new submission. Other requirements for asserting CBI claims must also be fulfilled for the new claims, such as completing certification statements required by section 14(c) of TSCA.</w:t>
      </w:r>
    </w:p>
    <w:p w14:paraId="18852622" w14:textId="4CC562EC" w:rsidR="00C10B75" w:rsidRPr="00431BA7" w:rsidRDefault="00C10B75" w:rsidP="000140FB">
      <w:pPr>
        <w:rPr>
          <w:rFonts w:cstheme="minorHAnsi"/>
          <w:sz w:val="24"/>
          <w:szCs w:val="24"/>
        </w:rPr>
      </w:pPr>
      <w:r w:rsidRPr="00431BA7">
        <w:rPr>
          <w:rFonts w:cstheme="minorHAnsi"/>
          <w:b/>
          <w:bCs/>
          <w:sz w:val="24"/>
          <w:szCs w:val="24"/>
        </w:rPr>
        <w:t>Comment:</w:t>
      </w:r>
      <w:r w:rsidRPr="00431BA7">
        <w:rPr>
          <w:rFonts w:cstheme="minorHAnsi"/>
          <w:sz w:val="24"/>
          <w:szCs w:val="24"/>
        </w:rPr>
        <w:t xml:space="preserve"> One comment noted that EPA should</w:t>
      </w:r>
      <w:r w:rsidR="005C7B6F" w:rsidRPr="00431BA7">
        <w:rPr>
          <w:rFonts w:cstheme="minorHAnsi"/>
          <w:sz w:val="24"/>
          <w:szCs w:val="24"/>
        </w:rPr>
        <w:t xml:space="preserve"> require detailed answers to substantiation questions and</w:t>
      </w:r>
      <w:r w:rsidRPr="00431BA7">
        <w:rPr>
          <w:rFonts w:cstheme="minorHAnsi"/>
          <w:sz w:val="24"/>
          <w:szCs w:val="24"/>
        </w:rPr>
        <w:t xml:space="preserve"> not rely solely on what the claimant asserts in their substantiation in reviewing CBI </w:t>
      </w:r>
      <w:proofErr w:type="gramStart"/>
      <w:r w:rsidRPr="00431BA7">
        <w:rPr>
          <w:rFonts w:cstheme="minorHAnsi"/>
          <w:sz w:val="24"/>
          <w:szCs w:val="24"/>
        </w:rPr>
        <w:t>claims, but</w:t>
      </w:r>
      <w:proofErr w:type="gramEnd"/>
      <w:r w:rsidRPr="00431BA7">
        <w:rPr>
          <w:rFonts w:cstheme="minorHAnsi"/>
          <w:sz w:val="24"/>
          <w:szCs w:val="24"/>
        </w:rPr>
        <w:t xml:space="preserve"> should also consider other information available to EPA.</w:t>
      </w:r>
    </w:p>
    <w:p w14:paraId="4B70D4F2" w14:textId="6BB96BAA" w:rsidR="00607C87" w:rsidRPr="00431BA7" w:rsidRDefault="00607C87" w:rsidP="000140FB">
      <w:pPr>
        <w:rPr>
          <w:rFonts w:cstheme="minorHAnsi"/>
          <w:sz w:val="24"/>
          <w:szCs w:val="24"/>
        </w:rPr>
      </w:pPr>
      <w:r w:rsidRPr="00431BA7">
        <w:rPr>
          <w:rFonts w:cstheme="minorHAnsi"/>
          <w:sz w:val="24"/>
          <w:szCs w:val="24"/>
        </w:rPr>
        <w:t xml:space="preserve">Source: </w:t>
      </w:r>
      <w:r w:rsidR="00342957" w:rsidRPr="00431BA7">
        <w:rPr>
          <w:rFonts w:cstheme="minorHAnsi"/>
          <w:sz w:val="24"/>
          <w:szCs w:val="24"/>
        </w:rPr>
        <w:t>-</w:t>
      </w:r>
      <w:r w:rsidRPr="00431BA7">
        <w:rPr>
          <w:rFonts w:cstheme="minorHAnsi"/>
          <w:sz w:val="24"/>
          <w:szCs w:val="24"/>
        </w:rPr>
        <w:t>0050</w:t>
      </w:r>
    </w:p>
    <w:p w14:paraId="6E25CFC1" w14:textId="05F6CE47" w:rsidR="00C10B75" w:rsidRPr="00431BA7" w:rsidRDefault="00060C02" w:rsidP="000140FB">
      <w:pPr>
        <w:rPr>
          <w:rFonts w:cstheme="minorHAnsi"/>
          <w:sz w:val="24"/>
          <w:szCs w:val="24"/>
        </w:rPr>
      </w:pPr>
      <w:r w:rsidRPr="00431BA7">
        <w:rPr>
          <w:rFonts w:cstheme="minorHAnsi"/>
          <w:b/>
          <w:bCs/>
          <w:sz w:val="24"/>
          <w:szCs w:val="24"/>
        </w:rPr>
        <w:t>Response</w:t>
      </w:r>
      <w:r w:rsidR="00C10B75" w:rsidRPr="00431BA7">
        <w:rPr>
          <w:rFonts w:cstheme="minorHAnsi"/>
          <w:b/>
          <w:bCs/>
          <w:sz w:val="24"/>
          <w:szCs w:val="24"/>
        </w:rPr>
        <w:t>:</w:t>
      </w:r>
      <w:r w:rsidR="00C10B75" w:rsidRPr="00431BA7">
        <w:rPr>
          <w:rFonts w:cstheme="minorHAnsi"/>
          <w:sz w:val="24"/>
          <w:szCs w:val="24"/>
        </w:rPr>
        <w:t xml:space="preserve">  EPA agrees with th</w:t>
      </w:r>
      <w:r w:rsidR="005C7B6F" w:rsidRPr="00431BA7">
        <w:rPr>
          <w:rFonts w:cstheme="minorHAnsi"/>
          <w:sz w:val="24"/>
          <w:szCs w:val="24"/>
        </w:rPr>
        <w:t>ese</w:t>
      </w:r>
      <w:r w:rsidR="00C10B75" w:rsidRPr="00431BA7">
        <w:rPr>
          <w:rFonts w:cstheme="minorHAnsi"/>
          <w:sz w:val="24"/>
          <w:szCs w:val="24"/>
        </w:rPr>
        <w:t xml:space="preserve"> comment</w:t>
      </w:r>
      <w:r w:rsidR="005C7B6F" w:rsidRPr="00431BA7">
        <w:rPr>
          <w:rFonts w:cstheme="minorHAnsi"/>
          <w:sz w:val="24"/>
          <w:szCs w:val="24"/>
        </w:rPr>
        <w:t>s.</w:t>
      </w:r>
      <w:r w:rsidR="000823B8" w:rsidRPr="00431BA7">
        <w:rPr>
          <w:rFonts w:cstheme="minorHAnsi"/>
          <w:sz w:val="24"/>
          <w:szCs w:val="24"/>
        </w:rPr>
        <w:t xml:space="preserve">  In most cases, yes or no responses to substantiation questions must be elaborated, and in the case of some claims, such as chemical identity claims, EPA is enhancing its capability to review prior claim history and publicly available information bearing on the confidentiality of the information.</w:t>
      </w:r>
    </w:p>
    <w:p w14:paraId="5E329707" w14:textId="310BEFF4" w:rsidR="002C7E8E" w:rsidRPr="00431BA7" w:rsidRDefault="002C7E8E" w:rsidP="002C7E8E">
      <w:pPr>
        <w:rPr>
          <w:rFonts w:cstheme="minorHAnsi"/>
          <w:sz w:val="24"/>
          <w:szCs w:val="24"/>
        </w:rPr>
      </w:pPr>
      <w:r w:rsidRPr="00431BA7">
        <w:rPr>
          <w:rFonts w:cstheme="minorHAnsi"/>
          <w:b/>
          <w:bCs/>
          <w:sz w:val="24"/>
          <w:szCs w:val="24"/>
        </w:rPr>
        <w:t>Comment:</w:t>
      </w:r>
      <w:r w:rsidRPr="00431BA7">
        <w:rPr>
          <w:rFonts w:cstheme="minorHAnsi"/>
          <w:sz w:val="24"/>
          <w:szCs w:val="24"/>
        </w:rPr>
        <w:t xml:space="preserve"> One comment asserted that CBI claims should not be allowed for information that is already public, and that any positive response to the prior public disclosure substantiation question should end the CBI review with a denial.</w:t>
      </w:r>
    </w:p>
    <w:p w14:paraId="3201329E" w14:textId="7CF3DE1A" w:rsidR="00607C87" w:rsidRPr="00431BA7" w:rsidRDefault="00607C87" w:rsidP="002C7E8E">
      <w:pPr>
        <w:rPr>
          <w:rFonts w:cstheme="minorHAnsi"/>
          <w:sz w:val="24"/>
          <w:szCs w:val="24"/>
        </w:rPr>
      </w:pPr>
      <w:r w:rsidRPr="00431BA7">
        <w:rPr>
          <w:rFonts w:cstheme="minorHAnsi"/>
          <w:sz w:val="24"/>
          <w:szCs w:val="24"/>
        </w:rPr>
        <w:t xml:space="preserve">Source: </w:t>
      </w:r>
      <w:r w:rsidR="00342957" w:rsidRPr="00431BA7">
        <w:rPr>
          <w:rFonts w:cstheme="minorHAnsi"/>
          <w:sz w:val="24"/>
          <w:szCs w:val="24"/>
        </w:rPr>
        <w:t>-</w:t>
      </w:r>
      <w:r w:rsidRPr="00431BA7">
        <w:rPr>
          <w:rFonts w:cstheme="minorHAnsi"/>
          <w:sz w:val="24"/>
          <w:szCs w:val="24"/>
        </w:rPr>
        <w:t>0050</w:t>
      </w:r>
    </w:p>
    <w:p w14:paraId="55D8CAE6" w14:textId="62ED688F" w:rsidR="002C7E8E" w:rsidRPr="00431BA7" w:rsidRDefault="00060C02" w:rsidP="002C7E8E">
      <w:pPr>
        <w:rPr>
          <w:rFonts w:cstheme="minorHAnsi"/>
          <w:sz w:val="24"/>
          <w:szCs w:val="24"/>
        </w:rPr>
      </w:pPr>
      <w:r w:rsidRPr="00431BA7">
        <w:rPr>
          <w:rFonts w:cstheme="minorHAnsi"/>
          <w:b/>
          <w:bCs/>
          <w:sz w:val="24"/>
          <w:szCs w:val="24"/>
        </w:rPr>
        <w:t>Response</w:t>
      </w:r>
      <w:r w:rsidR="002C7E8E" w:rsidRPr="00431BA7">
        <w:rPr>
          <w:rFonts w:cstheme="minorHAnsi"/>
          <w:b/>
          <w:bCs/>
          <w:sz w:val="24"/>
          <w:szCs w:val="24"/>
        </w:rPr>
        <w:t>:</w:t>
      </w:r>
      <w:r w:rsidR="002C7E8E" w:rsidRPr="00431BA7">
        <w:rPr>
          <w:rFonts w:cstheme="minorHAnsi"/>
          <w:sz w:val="24"/>
          <w:szCs w:val="24"/>
        </w:rPr>
        <w:t xml:space="preserve">  EPA agrees that in most cases, prior public disclosure of CBI information will </w:t>
      </w:r>
      <w:r w:rsidR="00DE30F5" w:rsidRPr="00431BA7">
        <w:rPr>
          <w:rFonts w:cstheme="minorHAnsi"/>
          <w:sz w:val="24"/>
          <w:szCs w:val="24"/>
        </w:rPr>
        <w:t>result in denial of</w:t>
      </w:r>
      <w:r w:rsidR="002C7E8E" w:rsidRPr="00431BA7">
        <w:rPr>
          <w:rFonts w:cstheme="minorHAnsi"/>
          <w:sz w:val="24"/>
          <w:szCs w:val="24"/>
        </w:rPr>
        <w:t xml:space="preserve"> the claim.  However, </w:t>
      </w:r>
      <w:r w:rsidR="00312384" w:rsidRPr="00431BA7">
        <w:rPr>
          <w:rFonts w:cstheme="minorHAnsi"/>
          <w:sz w:val="24"/>
          <w:szCs w:val="24"/>
        </w:rPr>
        <w:t>prior disclosure of</w:t>
      </w:r>
      <w:r w:rsidR="00C765A0" w:rsidRPr="00431BA7">
        <w:rPr>
          <w:rFonts w:cstheme="minorHAnsi"/>
          <w:sz w:val="24"/>
          <w:szCs w:val="24"/>
        </w:rPr>
        <w:t xml:space="preserve"> specific information in a submission might</w:t>
      </w:r>
      <w:r w:rsidR="002C7E8E" w:rsidRPr="00431BA7">
        <w:rPr>
          <w:rFonts w:cstheme="minorHAnsi"/>
          <w:sz w:val="24"/>
          <w:szCs w:val="24"/>
        </w:rPr>
        <w:t xml:space="preserve"> not disclose</w:t>
      </w:r>
      <w:r w:rsidR="00DE30F5" w:rsidRPr="00431BA7">
        <w:rPr>
          <w:rFonts w:cstheme="minorHAnsi"/>
          <w:sz w:val="24"/>
          <w:szCs w:val="24"/>
        </w:rPr>
        <w:t xml:space="preserve"> the same</w:t>
      </w:r>
      <w:r w:rsidR="002C7E8E" w:rsidRPr="00431BA7">
        <w:rPr>
          <w:rFonts w:cstheme="minorHAnsi"/>
          <w:sz w:val="24"/>
          <w:szCs w:val="24"/>
        </w:rPr>
        <w:t xml:space="preserve"> information in the same context.  </w:t>
      </w:r>
      <w:r w:rsidR="00114DC2" w:rsidRPr="00431BA7">
        <w:rPr>
          <w:rFonts w:cstheme="minorHAnsi"/>
          <w:sz w:val="24"/>
          <w:szCs w:val="24"/>
        </w:rPr>
        <w:t>For example, EPA often receives studies under TSCA section 8(e) regarding a chemical substance undergoing research and development. If that chemical substance identity is not claimed as confidential in the 8(e) submission, a chemical identity CBI claim in a subsequent section 5 PMN submitted by the same company (or other company) for the same chemical substance might nonetheless be appropriate where the 8(e) submission does not reveal a person’s intent to manufacture the chemical substance for commercial purposes in the U.S.</w:t>
      </w:r>
    </w:p>
    <w:p w14:paraId="2B013BB7" w14:textId="79A13DF3" w:rsidR="000140FB" w:rsidRPr="00431BA7" w:rsidRDefault="00DC7B62" w:rsidP="000140FB">
      <w:pPr>
        <w:rPr>
          <w:rFonts w:cstheme="minorHAnsi"/>
          <w:sz w:val="24"/>
          <w:szCs w:val="24"/>
        </w:rPr>
      </w:pPr>
      <w:r w:rsidRPr="00431BA7">
        <w:rPr>
          <w:rFonts w:cstheme="minorHAnsi"/>
          <w:b/>
          <w:bCs/>
          <w:sz w:val="24"/>
          <w:szCs w:val="24"/>
        </w:rPr>
        <w:lastRenderedPageBreak/>
        <w:t>Comment</w:t>
      </w:r>
      <w:r w:rsidRPr="00431BA7">
        <w:rPr>
          <w:rFonts w:cstheme="minorHAnsi"/>
          <w:sz w:val="24"/>
          <w:szCs w:val="24"/>
        </w:rPr>
        <w:t xml:space="preserve">: One commenter </w:t>
      </w:r>
      <w:r w:rsidR="000140FB" w:rsidRPr="00431BA7">
        <w:rPr>
          <w:rFonts w:cstheme="minorHAnsi"/>
          <w:sz w:val="24"/>
          <w:szCs w:val="24"/>
        </w:rPr>
        <w:t>suggest</w:t>
      </w:r>
      <w:r w:rsidRPr="00431BA7">
        <w:rPr>
          <w:rFonts w:cstheme="minorHAnsi"/>
          <w:sz w:val="24"/>
          <w:szCs w:val="24"/>
        </w:rPr>
        <w:t>ed</w:t>
      </w:r>
      <w:r w:rsidR="000140FB" w:rsidRPr="00431BA7">
        <w:rPr>
          <w:rFonts w:cstheme="minorHAnsi"/>
          <w:sz w:val="24"/>
          <w:szCs w:val="24"/>
        </w:rPr>
        <w:t xml:space="preserve"> a clarification</w:t>
      </w:r>
      <w:r w:rsidRPr="00431BA7">
        <w:rPr>
          <w:rFonts w:cstheme="minorHAnsi"/>
          <w:sz w:val="24"/>
          <w:szCs w:val="24"/>
        </w:rPr>
        <w:t xml:space="preserve"> to proposed 703.5(b)(3)(ii)</w:t>
      </w:r>
      <w:r w:rsidR="000140FB" w:rsidRPr="00431BA7">
        <w:rPr>
          <w:rFonts w:cstheme="minorHAnsi"/>
          <w:sz w:val="24"/>
          <w:szCs w:val="24"/>
        </w:rPr>
        <w:t xml:space="preserve"> </w:t>
      </w:r>
      <w:r w:rsidRPr="00431BA7">
        <w:rPr>
          <w:rFonts w:cstheme="minorHAnsi"/>
          <w:sz w:val="24"/>
          <w:szCs w:val="24"/>
        </w:rPr>
        <w:t>with</w:t>
      </w:r>
      <w:r w:rsidR="000140FB" w:rsidRPr="00431BA7">
        <w:rPr>
          <w:rFonts w:cstheme="minorHAnsi"/>
          <w:sz w:val="24"/>
          <w:szCs w:val="24"/>
        </w:rPr>
        <w:t xml:space="preserve"> a firmer </w:t>
      </w:r>
      <w:r w:rsidRPr="00431BA7">
        <w:rPr>
          <w:rFonts w:cstheme="minorHAnsi"/>
          <w:sz w:val="24"/>
          <w:szCs w:val="24"/>
        </w:rPr>
        <w:t>statement</w:t>
      </w:r>
      <w:r w:rsidR="000140FB" w:rsidRPr="00431BA7">
        <w:rPr>
          <w:rFonts w:cstheme="minorHAnsi"/>
          <w:sz w:val="24"/>
          <w:szCs w:val="24"/>
        </w:rPr>
        <w:t xml:space="preserve"> that info</w:t>
      </w:r>
      <w:r w:rsidRPr="00431BA7">
        <w:rPr>
          <w:rFonts w:cstheme="minorHAnsi"/>
          <w:sz w:val="24"/>
          <w:szCs w:val="24"/>
        </w:rPr>
        <w:t>rmation</w:t>
      </w:r>
      <w:r w:rsidR="000140FB" w:rsidRPr="00431BA7">
        <w:rPr>
          <w:rFonts w:cstheme="minorHAnsi"/>
          <w:sz w:val="24"/>
          <w:szCs w:val="24"/>
        </w:rPr>
        <w:t xml:space="preserve"> reported as non-CBI previously can’t be </w:t>
      </w:r>
      <w:r w:rsidRPr="00431BA7">
        <w:rPr>
          <w:rFonts w:cstheme="minorHAnsi"/>
          <w:sz w:val="24"/>
          <w:szCs w:val="24"/>
        </w:rPr>
        <w:t xml:space="preserve">treated as </w:t>
      </w:r>
      <w:r w:rsidR="000140FB" w:rsidRPr="00431BA7">
        <w:rPr>
          <w:rFonts w:cstheme="minorHAnsi"/>
          <w:sz w:val="24"/>
          <w:szCs w:val="24"/>
        </w:rPr>
        <w:t>CBI thereafter</w:t>
      </w:r>
      <w:r w:rsidRPr="00431BA7">
        <w:rPr>
          <w:rFonts w:cstheme="minorHAnsi"/>
          <w:sz w:val="24"/>
          <w:szCs w:val="24"/>
        </w:rPr>
        <w:t>: “Was the same or similar information previously reported to EPA as non-confidential (such as in an earlier version of this submission),” instead of “If the same or similar information was previously reported to EPA as non-confidential (such as in an earlier version of this submission), please explain the circumstances of that prior submission and reasons for believing the information is nonetheless still confidential.”</w:t>
      </w:r>
    </w:p>
    <w:p w14:paraId="39D27CC7" w14:textId="05EE67D7" w:rsidR="00607C87" w:rsidRPr="00431BA7" w:rsidRDefault="00607C87" w:rsidP="000140FB">
      <w:pPr>
        <w:rPr>
          <w:rFonts w:cstheme="minorHAnsi"/>
          <w:sz w:val="24"/>
          <w:szCs w:val="24"/>
        </w:rPr>
      </w:pPr>
      <w:r w:rsidRPr="00431BA7">
        <w:rPr>
          <w:rFonts w:cstheme="minorHAnsi"/>
          <w:sz w:val="24"/>
          <w:szCs w:val="24"/>
        </w:rPr>
        <w:t xml:space="preserve">Source: </w:t>
      </w:r>
      <w:r w:rsidR="00342957" w:rsidRPr="00431BA7">
        <w:rPr>
          <w:rFonts w:cstheme="minorHAnsi"/>
          <w:sz w:val="24"/>
          <w:szCs w:val="24"/>
        </w:rPr>
        <w:t>-</w:t>
      </w:r>
      <w:r w:rsidRPr="00431BA7">
        <w:rPr>
          <w:rFonts w:cstheme="minorHAnsi"/>
          <w:sz w:val="24"/>
          <w:szCs w:val="24"/>
        </w:rPr>
        <w:t xml:space="preserve">0050 </w:t>
      </w:r>
    </w:p>
    <w:p w14:paraId="5F9CCD82" w14:textId="6FABBC98" w:rsidR="00DC7B62" w:rsidRPr="00431BA7" w:rsidRDefault="00060C02" w:rsidP="000140FB">
      <w:pPr>
        <w:rPr>
          <w:rFonts w:cstheme="minorHAnsi"/>
          <w:sz w:val="24"/>
          <w:szCs w:val="24"/>
        </w:rPr>
      </w:pPr>
      <w:r w:rsidRPr="00431BA7">
        <w:rPr>
          <w:rFonts w:cstheme="minorHAnsi"/>
          <w:b/>
          <w:bCs/>
          <w:sz w:val="24"/>
          <w:szCs w:val="24"/>
        </w:rPr>
        <w:t>Response</w:t>
      </w:r>
      <w:r w:rsidR="00DC7B62" w:rsidRPr="00431BA7">
        <w:rPr>
          <w:rFonts w:cstheme="minorHAnsi"/>
          <w:sz w:val="24"/>
          <w:szCs w:val="24"/>
        </w:rPr>
        <w:t xml:space="preserve">: </w:t>
      </w:r>
      <w:r w:rsidR="00F60182" w:rsidRPr="00431BA7">
        <w:rPr>
          <w:rFonts w:cstheme="minorHAnsi"/>
          <w:sz w:val="24"/>
          <w:szCs w:val="24"/>
        </w:rPr>
        <w:t xml:space="preserve">EPA agrees </w:t>
      </w:r>
      <w:r w:rsidR="00CC4EF2" w:rsidRPr="00431BA7">
        <w:rPr>
          <w:rFonts w:cstheme="minorHAnsi"/>
          <w:sz w:val="24"/>
          <w:szCs w:val="24"/>
        </w:rPr>
        <w:t xml:space="preserve">generally </w:t>
      </w:r>
      <w:r w:rsidR="00F60182" w:rsidRPr="00431BA7">
        <w:rPr>
          <w:rFonts w:cstheme="minorHAnsi"/>
          <w:sz w:val="24"/>
          <w:szCs w:val="24"/>
        </w:rPr>
        <w:t xml:space="preserve">with </w:t>
      </w:r>
      <w:r w:rsidR="00CC4EF2" w:rsidRPr="00431BA7">
        <w:rPr>
          <w:rFonts w:cstheme="minorHAnsi"/>
          <w:sz w:val="24"/>
          <w:szCs w:val="24"/>
        </w:rPr>
        <w:t xml:space="preserve">the premise of </w:t>
      </w:r>
      <w:r w:rsidR="00F60182" w:rsidRPr="00431BA7">
        <w:rPr>
          <w:rFonts w:cstheme="minorHAnsi"/>
          <w:sz w:val="24"/>
          <w:szCs w:val="24"/>
        </w:rPr>
        <w:t>this comment</w:t>
      </w:r>
      <w:r w:rsidR="00CC4EF2" w:rsidRPr="00431BA7">
        <w:rPr>
          <w:rFonts w:cstheme="minorHAnsi"/>
          <w:sz w:val="24"/>
          <w:szCs w:val="24"/>
        </w:rPr>
        <w:t>,</w:t>
      </w:r>
      <w:r w:rsidR="00F60182" w:rsidRPr="00431BA7">
        <w:rPr>
          <w:rFonts w:cstheme="minorHAnsi"/>
          <w:sz w:val="24"/>
          <w:szCs w:val="24"/>
        </w:rPr>
        <w:t xml:space="preserve"> but does not view </w:t>
      </w:r>
      <w:r w:rsidR="00CC4EF2" w:rsidRPr="00431BA7">
        <w:rPr>
          <w:rFonts w:cstheme="minorHAnsi"/>
          <w:sz w:val="24"/>
          <w:szCs w:val="24"/>
        </w:rPr>
        <w:t xml:space="preserve">it </w:t>
      </w:r>
      <w:r w:rsidR="00F60182" w:rsidRPr="00431BA7">
        <w:rPr>
          <w:rFonts w:cstheme="minorHAnsi"/>
          <w:sz w:val="24"/>
          <w:szCs w:val="24"/>
        </w:rPr>
        <w:t>as absolute</w:t>
      </w:r>
      <w:r w:rsidR="00CC4EF2" w:rsidRPr="00431BA7">
        <w:rPr>
          <w:rFonts w:cstheme="minorHAnsi"/>
          <w:sz w:val="24"/>
          <w:szCs w:val="24"/>
        </w:rPr>
        <w:t>, so the final rule will include the version of the question that permits the submitter to explain the prior non-CBI disclosure.</w:t>
      </w:r>
      <w:r w:rsidR="00DC7B62" w:rsidRPr="00431BA7">
        <w:rPr>
          <w:rFonts w:cstheme="minorHAnsi"/>
          <w:sz w:val="24"/>
          <w:szCs w:val="24"/>
        </w:rPr>
        <w:t xml:space="preserve">  While prior non-CBI reports to EPA usually foreclose CBI treatment of the information afterwards, EPA is aware of occasional errors, including human and technical errors, where information intended to have been claimed as CBI and supported with substantiation, etc., was nonetheless temporarily available in a public source, such as the EPA Reading Room or ChemView.  </w:t>
      </w:r>
      <w:r w:rsidR="00F60182" w:rsidRPr="00431BA7">
        <w:rPr>
          <w:rFonts w:cstheme="minorHAnsi"/>
          <w:sz w:val="24"/>
          <w:szCs w:val="24"/>
        </w:rPr>
        <w:t xml:space="preserve">If an </w:t>
      </w:r>
      <w:r w:rsidR="000C12E3" w:rsidRPr="00431BA7">
        <w:rPr>
          <w:rFonts w:cstheme="minorHAnsi"/>
          <w:sz w:val="24"/>
          <w:szCs w:val="24"/>
        </w:rPr>
        <w:t xml:space="preserve">explanation of these circumstances </w:t>
      </w:r>
      <w:r w:rsidR="00F60182" w:rsidRPr="00431BA7">
        <w:rPr>
          <w:rFonts w:cstheme="minorHAnsi"/>
          <w:sz w:val="24"/>
          <w:szCs w:val="24"/>
        </w:rPr>
        <w:t>is ascertained by</w:t>
      </w:r>
      <w:r w:rsidR="000C12E3" w:rsidRPr="00431BA7">
        <w:rPr>
          <w:rFonts w:cstheme="minorHAnsi"/>
          <w:sz w:val="24"/>
          <w:szCs w:val="24"/>
        </w:rPr>
        <w:t xml:space="preserve"> EPA</w:t>
      </w:r>
      <w:r w:rsidR="00F60182" w:rsidRPr="00431BA7">
        <w:rPr>
          <w:rFonts w:cstheme="minorHAnsi"/>
          <w:sz w:val="24"/>
          <w:szCs w:val="24"/>
        </w:rPr>
        <w:t xml:space="preserve"> for use</w:t>
      </w:r>
      <w:r w:rsidR="000C12E3" w:rsidRPr="00431BA7">
        <w:rPr>
          <w:rFonts w:cstheme="minorHAnsi"/>
          <w:sz w:val="24"/>
          <w:szCs w:val="24"/>
        </w:rPr>
        <w:t xml:space="preserve"> in determining the extent to which the information was </w:t>
      </w:r>
      <w:proofErr w:type="gramStart"/>
      <w:r w:rsidR="000C12E3" w:rsidRPr="00431BA7">
        <w:rPr>
          <w:rFonts w:cstheme="minorHAnsi"/>
          <w:sz w:val="24"/>
          <w:szCs w:val="24"/>
        </w:rPr>
        <w:t>actually disclosed</w:t>
      </w:r>
      <w:proofErr w:type="gramEnd"/>
      <w:r w:rsidR="000C12E3" w:rsidRPr="00431BA7">
        <w:rPr>
          <w:rFonts w:cstheme="minorHAnsi"/>
          <w:sz w:val="24"/>
          <w:szCs w:val="24"/>
        </w:rPr>
        <w:t xml:space="preserve">, </w:t>
      </w:r>
      <w:r w:rsidR="00F60182" w:rsidRPr="00431BA7">
        <w:rPr>
          <w:rFonts w:cstheme="minorHAnsi"/>
          <w:sz w:val="24"/>
          <w:szCs w:val="24"/>
        </w:rPr>
        <w:t>the Agency may assess</w:t>
      </w:r>
      <w:r w:rsidR="000C12E3" w:rsidRPr="00431BA7">
        <w:rPr>
          <w:rFonts w:cstheme="minorHAnsi"/>
          <w:sz w:val="24"/>
          <w:szCs w:val="24"/>
        </w:rPr>
        <w:t xml:space="preserve"> the potential competitive harm in light of the scope of that previous disclosure.</w:t>
      </w:r>
    </w:p>
    <w:p w14:paraId="59F1BB6D" w14:textId="5697C847" w:rsidR="000C12E3" w:rsidRPr="00431BA7" w:rsidRDefault="000C12E3" w:rsidP="000C12E3">
      <w:pPr>
        <w:rPr>
          <w:rFonts w:cstheme="minorHAnsi"/>
          <w:sz w:val="24"/>
          <w:szCs w:val="24"/>
        </w:rPr>
      </w:pPr>
      <w:r w:rsidRPr="00431BA7">
        <w:rPr>
          <w:rFonts w:cstheme="minorHAnsi"/>
          <w:b/>
          <w:bCs/>
          <w:sz w:val="24"/>
          <w:szCs w:val="24"/>
        </w:rPr>
        <w:t>Comment</w:t>
      </w:r>
      <w:r w:rsidRPr="00431BA7">
        <w:rPr>
          <w:rFonts w:cstheme="minorHAnsi"/>
          <w:sz w:val="24"/>
          <w:szCs w:val="24"/>
        </w:rPr>
        <w:t xml:space="preserve">: One commenter suggested that proposed </w:t>
      </w:r>
      <w:r w:rsidR="00BC1896" w:rsidRPr="00431BA7">
        <w:rPr>
          <w:rFonts w:cstheme="minorHAnsi"/>
          <w:sz w:val="24"/>
          <w:szCs w:val="24"/>
        </w:rPr>
        <w:t xml:space="preserve">40 CFR </w:t>
      </w:r>
      <w:r w:rsidRPr="00431BA7">
        <w:rPr>
          <w:rFonts w:cstheme="minorHAnsi"/>
          <w:sz w:val="24"/>
          <w:szCs w:val="24"/>
        </w:rPr>
        <w:t>703.5(b)(3)(v) should be amended so that “the claimant should be asked not only “whether the information was found [by EPA, another agency, or a court] to be entitled to confidential treatment,” but also whether the information was found not to be entitled to confidential treatment.”</w:t>
      </w:r>
    </w:p>
    <w:p w14:paraId="32FAFFF7" w14:textId="3F0798B1" w:rsidR="00607C87" w:rsidRPr="00431BA7" w:rsidRDefault="00607C87" w:rsidP="000C12E3">
      <w:pPr>
        <w:rPr>
          <w:rFonts w:cstheme="minorHAnsi"/>
          <w:sz w:val="24"/>
          <w:szCs w:val="24"/>
        </w:rPr>
      </w:pPr>
      <w:r w:rsidRPr="00431BA7">
        <w:rPr>
          <w:rFonts w:cstheme="minorHAnsi"/>
          <w:sz w:val="24"/>
          <w:szCs w:val="24"/>
        </w:rPr>
        <w:t xml:space="preserve">Source: </w:t>
      </w:r>
      <w:r w:rsidR="00342957" w:rsidRPr="00431BA7">
        <w:rPr>
          <w:rFonts w:cstheme="minorHAnsi"/>
          <w:sz w:val="24"/>
          <w:szCs w:val="24"/>
        </w:rPr>
        <w:t>-</w:t>
      </w:r>
      <w:r w:rsidRPr="00431BA7">
        <w:rPr>
          <w:rFonts w:cstheme="minorHAnsi"/>
          <w:sz w:val="24"/>
          <w:szCs w:val="24"/>
        </w:rPr>
        <w:t>0050</w:t>
      </w:r>
    </w:p>
    <w:p w14:paraId="5EFF01A8" w14:textId="276FD714" w:rsidR="000C12E3" w:rsidRPr="00431BA7" w:rsidRDefault="00060C02" w:rsidP="000C12E3">
      <w:pPr>
        <w:rPr>
          <w:rFonts w:cstheme="minorHAnsi"/>
          <w:sz w:val="24"/>
          <w:szCs w:val="24"/>
        </w:rPr>
      </w:pPr>
      <w:r w:rsidRPr="00431BA7">
        <w:rPr>
          <w:rFonts w:cstheme="minorHAnsi"/>
          <w:b/>
          <w:bCs/>
          <w:sz w:val="24"/>
          <w:szCs w:val="24"/>
        </w:rPr>
        <w:t>Response</w:t>
      </w:r>
      <w:r w:rsidR="000C12E3" w:rsidRPr="00431BA7">
        <w:rPr>
          <w:rFonts w:cstheme="minorHAnsi"/>
          <w:sz w:val="24"/>
          <w:szCs w:val="24"/>
        </w:rPr>
        <w:t xml:space="preserve">:  EPA has </w:t>
      </w:r>
      <w:r w:rsidR="00C52F1B" w:rsidRPr="00431BA7">
        <w:rPr>
          <w:rFonts w:cstheme="minorHAnsi"/>
          <w:sz w:val="24"/>
          <w:szCs w:val="24"/>
        </w:rPr>
        <w:t>edited the question to</w:t>
      </w:r>
      <w:r w:rsidR="000C12E3" w:rsidRPr="00431BA7">
        <w:rPr>
          <w:rFonts w:cstheme="minorHAnsi"/>
          <w:sz w:val="24"/>
          <w:szCs w:val="24"/>
        </w:rPr>
        <w:t xml:space="preserve"> read as follows: “Has EPA, another federal agency, or court made any confidentiality determination regarding information associated with this chemical substance? If yes, please provide the circumstances associated with the prior determination, </w:t>
      </w:r>
      <w:proofErr w:type="gramStart"/>
      <w:r w:rsidR="000C12E3" w:rsidRPr="00431BA7">
        <w:rPr>
          <w:rFonts w:cstheme="minorHAnsi"/>
          <w:sz w:val="24"/>
          <w:szCs w:val="24"/>
        </w:rPr>
        <w:t xml:space="preserve">whether </w:t>
      </w:r>
      <w:r w:rsidR="000C12E3" w:rsidRPr="00431BA7">
        <w:rPr>
          <w:rFonts w:cstheme="minorHAnsi"/>
          <w:i/>
          <w:iCs/>
          <w:sz w:val="24"/>
          <w:szCs w:val="24"/>
        </w:rPr>
        <w:t>or not</w:t>
      </w:r>
      <w:proofErr w:type="gramEnd"/>
      <w:r w:rsidR="000C12E3" w:rsidRPr="00431BA7">
        <w:rPr>
          <w:rFonts w:cstheme="minorHAnsi"/>
          <w:sz w:val="24"/>
          <w:szCs w:val="24"/>
        </w:rPr>
        <w:t xml:space="preserve"> the information was found to be entitled to confidential treatment, the entity that made the decision, and the date of the determination.”</w:t>
      </w:r>
    </w:p>
    <w:p w14:paraId="3A4E3902" w14:textId="621FEC15" w:rsidR="00AF70CF" w:rsidRPr="00431BA7" w:rsidRDefault="00AF70CF" w:rsidP="000140FB">
      <w:pPr>
        <w:rPr>
          <w:rFonts w:cstheme="minorHAnsi"/>
          <w:sz w:val="24"/>
          <w:szCs w:val="24"/>
        </w:rPr>
      </w:pPr>
      <w:r w:rsidRPr="00431BA7">
        <w:rPr>
          <w:rFonts w:cstheme="minorHAnsi"/>
          <w:b/>
          <w:bCs/>
          <w:sz w:val="24"/>
          <w:szCs w:val="24"/>
        </w:rPr>
        <w:t xml:space="preserve">Comment: </w:t>
      </w:r>
      <w:r w:rsidRPr="00431BA7">
        <w:rPr>
          <w:rFonts w:cstheme="minorHAnsi"/>
          <w:sz w:val="24"/>
          <w:szCs w:val="24"/>
        </w:rPr>
        <w:t xml:space="preserve">Two commenters </w:t>
      </w:r>
      <w:r w:rsidR="00531E45" w:rsidRPr="00431BA7">
        <w:rPr>
          <w:rFonts w:cstheme="minorHAnsi"/>
          <w:sz w:val="24"/>
          <w:szCs w:val="24"/>
        </w:rPr>
        <w:t>indicated confusion over</w:t>
      </w:r>
      <w:r w:rsidRPr="00431BA7">
        <w:rPr>
          <w:rFonts w:cstheme="minorHAnsi"/>
          <w:sz w:val="24"/>
          <w:szCs w:val="24"/>
        </w:rPr>
        <w:t xml:space="preserve"> the certification statement in proposed </w:t>
      </w:r>
      <w:r w:rsidR="00BC1896" w:rsidRPr="00431BA7">
        <w:rPr>
          <w:rFonts w:cstheme="minorHAnsi"/>
          <w:sz w:val="24"/>
          <w:szCs w:val="24"/>
        </w:rPr>
        <w:t xml:space="preserve">40 CFR </w:t>
      </w:r>
      <w:r w:rsidRPr="00431BA7">
        <w:rPr>
          <w:rFonts w:cstheme="minorHAnsi"/>
          <w:sz w:val="24"/>
          <w:szCs w:val="24"/>
        </w:rPr>
        <w:t xml:space="preserve">703.5(b)(4)(i).  One suggested </w:t>
      </w:r>
      <w:r w:rsidR="00CC4EF2" w:rsidRPr="00431BA7">
        <w:rPr>
          <w:rFonts w:cstheme="minorHAnsi"/>
          <w:sz w:val="24"/>
          <w:szCs w:val="24"/>
        </w:rPr>
        <w:t xml:space="preserve">a specific </w:t>
      </w:r>
      <w:r w:rsidRPr="00431BA7">
        <w:rPr>
          <w:rFonts w:cstheme="minorHAnsi"/>
          <w:sz w:val="24"/>
          <w:szCs w:val="24"/>
        </w:rPr>
        <w:t>replacement statement: “I certify that on the date referenced I searched the internet for the chemical substance identity (i.e., by both specific chemical name and CASRN). I did not find a reference to this specific chemical substance identity being manufactured for a commercial purpose and have no knowledge of public information identifying the specific chemical identity as being manufactured or imported by anyone for a commercial purpose in the United States. For purposes of this certification, use of a substance for research and development only (consistent with the definition at 40 CFR 720.3(cc)) is not considered to be use for a “commercial purpose.” [provide date].”</w:t>
      </w:r>
      <w:r w:rsidR="00531E45" w:rsidRPr="00431BA7">
        <w:rPr>
          <w:rFonts w:cstheme="minorHAnsi"/>
          <w:sz w:val="24"/>
          <w:szCs w:val="24"/>
        </w:rPr>
        <w:t xml:space="preserve">  The other </w:t>
      </w:r>
      <w:r w:rsidR="00C02F5A" w:rsidRPr="00431BA7">
        <w:rPr>
          <w:rFonts w:cstheme="minorHAnsi"/>
          <w:sz w:val="24"/>
          <w:szCs w:val="24"/>
        </w:rPr>
        <w:t>commenter appears to be</w:t>
      </w:r>
      <w:r w:rsidR="00531E45" w:rsidRPr="00431BA7">
        <w:rPr>
          <w:rFonts w:cstheme="minorHAnsi"/>
          <w:sz w:val="24"/>
          <w:szCs w:val="24"/>
        </w:rPr>
        <w:t xml:space="preserve"> concerned that if a person included the certification but otherwise </w:t>
      </w:r>
      <w:r w:rsidR="00531E45" w:rsidRPr="00431BA7">
        <w:rPr>
          <w:rFonts w:cstheme="minorHAnsi"/>
          <w:sz w:val="24"/>
          <w:szCs w:val="24"/>
        </w:rPr>
        <w:lastRenderedPageBreak/>
        <w:t xml:space="preserve">failed to substantiate, the chemical identity might be disclosed on the public portion of the Inventory without notice to the “’owner’” of that chemical.”  </w:t>
      </w:r>
    </w:p>
    <w:p w14:paraId="55C4E277" w14:textId="44E7DA67" w:rsidR="00607C87" w:rsidRPr="00431BA7" w:rsidRDefault="00607C87" w:rsidP="000140FB">
      <w:pPr>
        <w:rPr>
          <w:rFonts w:cstheme="minorHAnsi"/>
          <w:b/>
          <w:bCs/>
          <w:sz w:val="24"/>
          <w:szCs w:val="24"/>
        </w:rPr>
      </w:pPr>
      <w:r w:rsidRPr="00431BA7">
        <w:rPr>
          <w:rFonts w:cstheme="minorHAnsi"/>
          <w:sz w:val="24"/>
          <w:szCs w:val="24"/>
        </w:rPr>
        <w:t xml:space="preserve">Source: </w:t>
      </w:r>
      <w:r w:rsidR="00342957" w:rsidRPr="00431BA7">
        <w:rPr>
          <w:rFonts w:cstheme="minorHAnsi"/>
          <w:sz w:val="24"/>
          <w:szCs w:val="24"/>
        </w:rPr>
        <w:t>-</w:t>
      </w:r>
      <w:r w:rsidRPr="00431BA7">
        <w:rPr>
          <w:rFonts w:cstheme="minorHAnsi"/>
          <w:sz w:val="24"/>
          <w:szCs w:val="24"/>
        </w:rPr>
        <w:t xml:space="preserve">0048: </w:t>
      </w:r>
      <w:r w:rsidR="00342957" w:rsidRPr="00431BA7">
        <w:rPr>
          <w:rFonts w:cstheme="minorHAnsi"/>
          <w:sz w:val="24"/>
          <w:szCs w:val="24"/>
        </w:rPr>
        <w:t>-</w:t>
      </w:r>
      <w:r w:rsidRPr="00431BA7">
        <w:rPr>
          <w:rFonts w:cstheme="minorHAnsi"/>
          <w:sz w:val="24"/>
          <w:szCs w:val="24"/>
        </w:rPr>
        <w:t>0044</w:t>
      </w:r>
    </w:p>
    <w:p w14:paraId="2D912C87" w14:textId="7C4F7113" w:rsidR="000140FB" w:rsidRPr="00431BA7" w:rsidRDefault="00060C02" w:rsidP="000140FB">
      <w:pPr>
        <w:rPr>
          <w:sz w:val="24"/>
          <w:szCs w:val="24"/>
        </w:rPr>
      </w:pPr>
      <w:r w:rsidRPr="00431BA7">
        <w:rPr>
          <w:rFonts w:cstheme="minorHAnsi"/>
          <w:b/>
          <w:bCs/>
          <w:sz w:val="24"/>
          <w:szCs w:val="24"/>
        </w:rPr>
        <w:t>Response</w:t>
      </w:r>
      <w:r w:rsidR="0039478C" w:rsidRPr="00431BA7">
        <w:rPr>
          <w:rFonts w:cstheme="minorHAnsi"/>
          <w:b/>
          <w:bCs/>
          <w:sz w:val="24"/>
          <w:szCs w:val="24"/>
        </w:rPr>
        <w:t>:</w:t>
      </w:r>
      <w:r w:rsidR="0039478C" w:rsidRPr="00431BA7">
        <w:rPr>
          <w:rFonts w:cstheme="minorHAnsi"/>
          <w:b/>
          <w:bCs/>
          <w:i/>
          <w:iCs/>
          <w:sz w:val="24"/>
          <w:szCs w:val="24"/>
        </w:rPr>
        <w:t xml:space="preserve"> </w:t>
      </w:r>
      <w:r w:rsidR="0015724C" w:rsidRPr="00431BA7">
        <w:rPr>
          <w:rFonts w:cstheme="minorHAnsi"/>
          <w:b/>
          <w:bCs/>
          <w:sz w:val="24"/>
          <w:szCs w:val="24"/>
        </w:rPr>
        <w:t xml:space="preserve"> </w:t>
      </w:r>
      <w:r w:rsidR="00FD6AAF" w:rsidRPr="00431BA7">
        <w:rPr>
          <w:rFonts w:cstheme="minorHAnsi"/>
          <w:sz w:val="24"/>
          <w:szCs w:val="24"/>
        </w:rPr>
        <w:t xml:space="preserve">The final rule will use the proposed certification statement, which has already been </w:t>
      </w:r>
      <w:r w:rsidR="00FD6AAF" w:rsidRPr="00431BA7">
        <w:rPr>
          <w:sz w:val="24"/>
          <w:szCs w:val="24"/>
        </w:rPr>
        <w:t>used in the CDR (</w:t>
      </w:r>
      <w:r w:rsidR="00085B15" w:rsidRPr="00431BA7">
        <w:rPr>
          <w:sz w:val="24"/>
          <w:szCs w:val="24"/>
        </w:rPr>
        <w:t xml:space="preserve">40 CFR </w:t>
      </w:r>
      <w:r w:rsidR="00FD6AAF" w:rsidRPr="00431BA7">
        <w:rPr>
          <w:sz w:val="24"/>
          <w:szCs w:val="24"/>
        </w:rPr>
        <w:t xml:space="preserve">Part 711) substantiation questions.  Note that the first part of the question establishes whether the substance is known to be in US commerce for any use.  If it is, </w:t>
      </w:r>
      <w:r w:rsidR="00A502C3" w:rsidRPr="00431BA7">
        <w:rPr>
          <w:sz w:val="24"/>
          <w:szCs w:val="24"/>
        </w:rPr>
        <w:t xml:space="preserve">the submitter will need to explain why the chemical identity should still be treated as confidential—for example, it might only be known as </w:t>
      </w:r>
      <w:r w:rsidR="00FD6AAF" w:rsidRPr="00431BA7">
        <w:rPr>
          <w:sz w:val="24"/>
          <w:szCs w:val="24"/>
        </w:rPr>
        <w:t>an R&amp;D chemical</w:t>
      </w:r>
      <w:r w:rsidR="00A502C3" w:rsidRPr="00431BA7">
        <w:rPr>
          <w:sz w:val="24"/>
          <w:szCs w:val="24"/>
        </w:rPr>
        <w:t xml:space="preserve"> available in small quantities for that use, and not a chemical that has any other commercial use</w:t>
      </w:r>
      <w:r w:rsidR="00FD6AAF" w:rsidRPr="00431BA7">
        <w:rPr>
          <w:sz w:val="24"/>
          <w:szCs w:val="24"/>
        </w:rPr>
        <w:t xml:space="preserve">.  If </w:t>
      </w:r>
      <w:r w:rsidR="00A502C3" w:rsidRPr="00431BA7">
        <w:rPr>
          <w:sz w:val="24"/>
          <w:szCs w:val="24"/>
        </w:rPr>
        <w:t xml:space="preserve">the submitter is asserting that the substance </w:t>
      </w:r>
      <w:r w:rsidR="00FD6AAF" w:rsidRPr="00431BA7">
        <w:rPr>
          <w:sz w:val="24"/>
          <w:szCs w:val="24"/>
        </w:rPr>
        <w:t xml:space="preserve">isn’t known to be in commerce </w:t>
      </w:r>
      <w:r w:rsidR="00A502C3" w:rsidRPr="00431BA7">
        <w:rPr>
          <w:sz w:val="24"/>
          <w:szCs w:val="24"/>
        </w:rPr>
        <w:t>for any commercial purpose</w:t>
      </w:r>
      <w:r w:rsidR="00FD6AAF" w:rsidRPr="00431BA7">
        <w:rPr>
          <w:sz w:val="24"/>
          <w:szCs w:val="24"/>
        </w:rPr>
        <w:t xml:space="preserve">, </w:t>
      </w:r>
      <w:r w:rsidR="00A502C3" w:rsidRPr="00431BA7">
        <w:rPr>
          <w:sz w:val="24"/>
          <w:szCs w:val="24"/>
        </w:rPr>
        <w:t xml:space="preserve">they must certify that they </w:t>
      </w:r>
      <w:proofErr w:type="gramStart"/>
      <w:r w:rsidR="00A502C3" w:rsidRPr="00431BA7">
        <w:rPr>
          <w:sz w:val="24"/>
          <w:szCs w:val="24"/>
        </w:rPr>
        <w:t>made an effort</w:t>
      </w:r>
      <w:proofErr w:type="gramEnd"/>
      <w:r w:rsidR="00A502C3" w:rsidRPr="00431BA7">
        <w:rPr>
          <w:sz w:val="24"/>
          <w:szCs w:val="24"/>
        </w:rPr>
        <w:t xml:space="preserve"> to support this belief.  EPA is concerned that the suggested addition that use for R&amp;D only is not considered a commercial purpose for purposes of the certification would introduce unnecessary confusion—manufacture for R&amp;D use can be and often is commercial in purpose.</w:t>
      </w:r>
    </w:p>
    <w:p w14:paraId="0EB1E3DC" w14:textId="0EC8204C" w:rsidR="00531E45" w:rsidRPr="00431BA7" w:rsidRDefault="00531E45" w:rsidP="000140FB">
      <w:pPr>
        <w:rPr>
          <w:rFonts w:cstheme="minorHAnsi"/>
          <w:sz w:val="24"/>
          <w:szCs w:val="24"/>
        </w:rPr>
      </w:pPr>
      <w:r w:rsidRPr="00431BA7">
        <w:rPr>
          <w:sz w:val="24"/>
          <w:szCs w:val="24"/>
        </w:rPr>
        <w:t xml:space="preserve">EPA notes </w:t>
      </w:r>
      <w:r w:rsidR="00324711" w:rsidRPr="00431BA7">
        <w:rPr>
          <w:sz w:val="24"/>
          <w:szCs w:val="24"/>
        </w:rPr>
        <w:t xml:space="preserve">that failing to fully substantiate, regardless of the response to the certification question in </w:t>
      </w:r>
      <w:r w:rsidR="00324711" w:rsidRPr="00431BA7">
        <w:rPr>
          <w:rFonts w:cstheme="minorHAnsi"/>
          <w:sz w:val="24"/>
          <w:szCs w:val="24"/>
        </w:rPr>
        <w:t xml:space="preserve">703.5(b)(4)(i), may cause a CBI claim to be denied (unless the deficiency is corrected in accordance with </w:t>
      </w:r>
      <w:r w:rsidR="00BC1896" w:rsidRPr="00431BA7">
        <w:rPr>
          <w:rFonts w:cstheme="minorHAnsi"/>
          <w:sz w:val="24"/>
          <w:szCs w:val="24"/>
        </w:rPr>
        <w:t xml:space="preserve">40 CFR </w:t>
      </w:r>
      <w:r w:rsidR="00324711" w:rsidRPr="00431BA7">
        <w:rPr>
          <w:rFonts w:cstheme="minorHAnsi"/>
          <w:sz w:val="24"/>
          <w:szCs w:val="24"/>
        </w:rPr>
        <w:t xml:space="preserve">703.5(e)).  See Unit 5 for a more detailed discussion of the effect of a withdrawn or denied chemical identity CBI claim on confidential Inventory protection </w:t>
      </w:r>
      <w:r w:rsidR="00BC1896" w:rsidRPr="00431BA7">
        <w:rPr>
          <w:rFonts w:cstheme="minorHAnsi"/>
          <w:sz w:val="24"/>
          <w:szCs w:val="24"/>
        </w:rPr>
        <w:t xml:space="preserve">for that substance </w:t>
      </w:r>
      <w:r w:rsidR="00324711" w:rsidRPr="00431BA7">
        <w:rPr>
          <w:rFonts w:cstheme="minorHAnsi"/>
          <w:sz w:val="24"/>
          <w:szCs w:val="24"/>
        </w:rPr>
        <w:t>and subsequent review of other CBI claims for the same chemical identity.</w:t>
      </w:r>
      <w:r w:rsidRPr="00431BA7">
        <w:rPr>
          <w:sz w:val="24"/>
          <w:szCs w:val="24"/>
        </w:rPr>
        <w:t xml:space="preserve"> </w:t>
      </w:r>
    </w:p>
    <w:p w14:paraId="43100319" w14:textId="555B8571" w:rsidR="004A656C" w:rsidRPr="00431BA7" w:rsidRDefault="004A656C" w:rsidP="000140FB">
      <w:pPr>
        <w:rPr>
          <w:rFonts w:cstheme="minorHAnsi"/>
          <w:sz w:val="24"/>
          <w:szCs w:val="24"/>
        </w:rPr>
      </w:pPr>
      <w:r w:rsidRPr="00431BA7">
        <w:rPr>
          <w:rFonts w:cstheme="minorHAnsi"/>
          <w:b/>
          <w:bCs/>
          <w:sz w:val="24"/>
          <w:szCs w:val="24"/>
        </w:rPr>
        <w:t xml:space="preserve">Comment:  </w:t>
      </w:r>
      <w:r w:rsidR="00783266" w:rsidRPr="00431BA7">
        <w:rPr>
          <w:rFonts w:cstheme="minorHAnsi"/>
          <w:sz w:val="24"/>
          <w:szCs w:val="24"/>
        </w:rPr>
        <w:t>One commenter noted that the proposed rule d</w:t>
      </w:r>
      <w:r w:rsidR="00BC1896" w:rsidRPr="00431BA7">
        <w:rPr>
          <w:rFonts w:cstheme="minorHAnsi"/>
          <w:sz w:val="24"/>
          <w:szCs w:val="24"/>
        </w:rPr>
        <w:t>id</w:t>
      </w:r>
      <w:r w:rsidR="00783266" w:rsidRPr="00431BA7">
        <w:rPr>
          <w:rFonts w:cstheme="minorHAnsi"/>
          <w:sz w:val="24"/>
          <w:szCs w:val="24"/>
        </w:rPr>
        <w:t xml:space="preserve"> not require the substantiation of CBI claims included within substantiation, asserting that EPA must review these CBI claims as well.</w:t>
      </w:r>
    </w:p>
    <w:p w14:paraId="5DA9E48C" w14:textId="135CF0B2" w:rsidR="00607C87" w:rsidRPr="00431BA7" w:rsidRDefault="00607C87" w:rsidP="000140FB">
      <w:pPr>
        <w:rPr>
          <w:rFonts w:cstheme="minorHAnsi"/>
          <w:sz w:val="24"/>
          <w:szCs w:val="24"/>
        </w:rPr>
      </w:pPr>
      <w:r w:rsidRPr="00431BA7">
        <w:rPr>
          <w:rFonts w:cstheme="minorHAnsi"/>
          <w:sz w:val="24"/>
          <w:szCs w:val="24"/>
        </w:rPr>
        <w:t xml:space="preserve">Source: </w:t>
      </w:r>
      <w:r w:rsidR="00085B15" w:rsidRPr="00431BA7">
        <w:rPr>
          <w:rFonts w:cstheme="minorHAnsi"/>
          <w:sz w:val="24"/>
          <w:szCs w:val="24"/>
        </w:rPr>
        <w:t xml:space="preserve"> -0050</w:t>
      </w:r>
    </w:p>
    <w:p w14:paraId="2EFB21E8" w14:textId="3B204547" w:rsidR="00783266" w:rsidRPr="00431BA7" w:rsidRDefault="00060C02" w:rsidP="000140FB">
      <w:pPr>
        <w:rPr>
          <w:rFonts w:cstheme="minorHAnsi"/>
          <w:sz w:val="24"/>
          <w:szCs w:val="24"/>
        </w:rPr>
      </w:pPr>
      <w:r w:rsidRPr="00431BA7">
        <w:rPr>
          <w:rFonts w:cstheme="minorHAnsi"/>
          <w:b/>
          <w:bCs/>
          <w:sz w:val="24"/>
          <w:szCs w:val="24"/>
        </w:rPr>
        <w:t>Response</w:t>
      </w:r>
      <w:r w:rsidR="00783266" w:rsidRPr="00431BA7">
        <w:rPr>
          <w:rFonts w:cstheme="minorHAnsi"/>
          <w:b/>
          <w:bCs/>
          <w:sz w:val="24"/>
          <w:szCs w:val="24"/>
        </w:rPr>
        <w:t xml:space="preserve">:  </w:t>
      </w:r>
      <w:r w:rsidR="00783266" w:rsidRPr="00431BA7">
        <w:rPr>
          <w:rFonts w:cstheme="minorHAnsi"/>
          <w:sz w:val="24"/>
          <w:szCs w:val="24"/>
        </w:rPr>
        <w:t xml:space="preserve">As the commenter themselves noted, collecting substantiation on CBI claims made within substantiation documents and reviewing such claims would </w:t>
      </w:r>
      <w:r w:rsidR="002A0996" w:rsidRPr="00431BA7">
        <w:rPr>
          <w:rFonts w:cstheme="minorHAnsi"/>
          <w:sz w:val="24"/>
          <w:szCs w:val="24"/>
        </w:rPr>
        <w:t xml:space="preserve">often </w:t>
      </w:r>
      <w:r w:rsidR="00783266" w:rsidRPr="00431BA7">
        <w:rPr>
          <w:rFonts w:cstheme="minorHAnsi"/>
          <w:sz w:val="24"/>
          <w:szCs w:val="24"/>
        </w:rPr>
        <w:t>lead to a recursive loop, where EPA would be reviewing CBI claims on CBI claims</w:t>
      </w:r>
      <w:r w:rsidR="002A0996" w:rsidRPr="00431BA7">
        <w:rPr>
          <w:rFonts w:cstheme="minorHAnsi"/>
          <w:sz w:val="24"/>
          <w:szCs w:val="24"/>
        </w:rPr>
        <w:t>, potentially</w:t>
      </w:r>
      <w:r w:rsidR="00783266" w:rsidRPr="00431BA7">
        <w:rPr>
          <w:rFonts w:cstheme="minorHAnsi"/>
          <w:sz w:val="24"/>
          <w:szCs w:val="24"/>
        </w:rPr>
        <w:t xml:space="preserve"> </w:t>
      </w:r>
      <w:r w:rsidR="00783266" w:rsidRPr="00431BA7">
        <w:rPr>
          <w:rFonts w:cstheme="minorHAnsi"/>
          <w:i/>
          <w:iCs/>
          <w:sz w:val="24"/>
          <w:szCs w:val="24"/>
        </w:rPr>
        <w:t>ad infinitum</w:t>
      </w:r>
      <w:r w:rsidR="00783266" w:rsidRPr="00431BA7">
        <w:rPr>
          <w:rFonts w:cstheme="minorHAnsi"/>
          <w:sz w:val="24"/>
          <w:szCs w:val="24"/>
        </w:rPr>
        <w:t xml:space="preserve">.  </w:t>
      </w:r>
      <w:r w:rsidR="002A0996" w:rsidRPr="00431BA7">
        <w:rPr>
          <w:rFonts w:cstheme="minorHAnsi"/>
          <w:sz w:val="24"/>
          <w:szCs w:val="24"/>
        </w:rPr>
        <w:t>It seems unlikely that Congress intended that EPA extend the CBI review program i</w:t>
      </w:r>
      <w:r w:rsidR="00AF70CF" w:rsidRPr="00431BA7">
        <w:rPr>
          <w:rFonts w:cstheme="minorHAnsi"/>
          <w:sz w:val="24"/>
          <w:szCs w:val="24"/>
        </w:rPr>
        <w:t>t</w:t>
      </w:r>
      <w:r w:rsidR="002A0996" w:rsidRPr="00431BA7">
        <w:rPr>
          <w:rFonts w:cstheme="minorHAnsi"/>
          <w:sz w:val="24"/>
          <w:szCs w:val="24"/>
        </w:rPr>
        <w:t xml:space="preserve"> outlined </w:t>
      </w:r>
      <w:r w:rsidR="00F73E65" w:rsidRPr="00431BA7">
        <w:rPr>
          <w:rFonts w:cstheme="minorHAnsi"/>
          <w:sz w:val="24"/>
          <w:szCs w:val="24"/>
        </w:rPr>
        <w:t xml:space="preserve">in </w:t>
      </w:r>
      <w:r w:rsidR="002A0996" w:rsidRPr="00431BA7">
        <w:rPr>
          <w:rFonts w:cstheme="minorHAnsi"/>
          <w:sz w:val="24"/>
          <w:szCs w:val="24"/>
        </w:rPr>
        <w:t xml:space="preserve">section 14(g) to reviewing the CBI claims in substantiations for CBI claims in more substantive TSCA submissions.  </w:t>
      </w:r>
      <w:r w:rsidR="00783266" w:rsidRPr="00431BA7">
        <w:rPr>
          <w:rFonts w:cstheme="minorHAnsi"/>
          <w:sz w:val="24"/>
          <w:szCs w:val="24"/>
        </w:rPr>
        <w:t>While CBI substantiation responses often include CBI claims, EPA has observed that the claims are typically for the same information that was included and claimed in the underlying submission—e.g., company name, chemical identity, etc.  In other words, the CBI claims in the substantiation document are included in the review of the TSCA submission itself.  To the extent there is a CBI claim in the substantiation document or responses that is unique to the substantiation document, such as an explanation of competitive harm that the company views as confidential information, such responses might also be considered as not truly “part of” the underlying TSCA submission.  Substantiation responses or documents are provided for the purposes of supporting the CBI claim in the TSCA submission.  They are not themselves required by TSCA (except to support a CBI claim).</w:t>
      </w:r>
      <w:r w:rsidR="002A0996" w:rsidRPr="00431BA7">
        <w:rPr>
          <w:rFonts w:cstheme="minorHAnsi"/>
          <w:sz w:val="24"/>
          <w:szCs w:val="24"/>
        </w:rPr>
        <w:t xml:space="preserve">  </w:t>
      </w:r>
      <w:r w:rsidR="00162CED" w:rsidRPr="00431BA7">
        <w:rPr>
          <w:rFonts w:cstheme="minorHAnsi"/>
          <w:sz w:val="24"/>
          <w:szCs w:val="24"/>
        </w:rPr>
        <w:t xml:space="preserve"> </w:t>
      </w:r>
      <w:r w:rsidR="003906DD" w:rsidRPr="00431BA7">
        <w:rPr>
          <w:rFonts w:cstheme="minorHAnsi"/>
          <w:sz w:val="24"/>
          <w:szCs w:val="24"/>
        </w:rPr>
        <w:t>EPA does not believe</w:t>
      </w:r>
      <w:r w:rsidR="002A0996" w:rsidRPr="00431BA7">
        <w:rPr>
          <w:rFonts w:cstheme="minorHAnsi"/>
          <w:sz w:val="24"/>
          <w:szCs w:val="24"/>
        </w:rPr>
        <w:t xml:space="preserve"> that </w:t>
      </w:r>
      <w:r w:rsidR="00162CED" w:rsidRPr="00431BA7">
        <w:rPr>
          <w:rFonts w:cstheme="minorHAnsi"/>
          <w:sz w:val="24"/>
          <w:szCs w:val="24"/>
        </w:rPr>
        <w:t xml:space="preserve">Congress intended </w:t>
      </w:r>
      <w:r w:rsidR="00162CED" w:rsidRPr="00431BA7">
        <w:rPr>
          <w:rFonts w:cstheme="minorHAnsi"/>
          <w:sz w:val="24"/>
          <w:szCs w:val="24"/>
        </w:rPr>
        <w:lastRenderedPageBreak/>
        <w:t xml:space="preserve">the Agency to </w:t>
      </w:r>
      <w:r w:rsidR="002A0996" w:rsidRPr="00431BA7">
        <w:rPr>
          <w:rFonts w:cstheme="minorHAnsi"/>
          <w:sz w:val="24"/>
          <w:szCs w:val="24"/>
        </w:rPr>
        <w:t>expend significant resources conducting CBI reviews of claims increasingly remote from a substantive TSCA submission and thereby unlikely to affect public availability of information on chemicals</w:t>
      </w:r>
      <w:r w:rsidR="00162CED" w:rsidRPr="00431BA7">
        <w:rPr>
          <w:rFonts w:cstheme="minorHAnsi"/>
          <w:sz w:val="24"/>
          <w:szCs w:val="24"/>
        </w:rPr>
        <w:t>.</w:t>
      </w:r>
      <w:r w:rsidR="005F6926" w:rsidRPr="00431BA7">
        <w:rPr>
          <w:rFonts w:cstheme="minorHAnsi"/>
          <w:sz w:val="24"/>
          <w:szCs w:val="24"/>
        </w:rPr>
        <w:t xml:space="preserve"> That, combined with</w:t>
      </w:r>
      <w:r w:rsidR="002A0996" w:rsidRPr="00431BA7">
        <w:rPr>
          <w:rFonts w:cstheme="minorHAnsi"/>
          <w:sz w:val="24"/>
          <w:szCs w:val="24"/>
        </w:rPr>
        <w:t xml:space="preserve"> the typical duplication of claims between substantiation responses and the TSCA submission, </w:t>
      </w:r>
      <w:r w:rsidR="00E60C2E" w:rsidRPr="00431BA7">
        <w:rPr>
          <w:rFonts w:cstheme="minorHAnsi"/>
          <w:sz w:val="24"/>
          <w:szCs w:val="24"/>
        </w:rPr>
        <w:t>leads EPA to decline in</w:t>
      </w:r>
      <w:r w:rsidR="0054760F" w:rsidRPr="00431BA7">
        <w:rPr>
          <w:rFonts w:cstheme="minorHAnsi"/>
          <w:sz w:val="24"/>
          <w:szCs w:val="24"/>
        </w:rPr>
        <w:t xml:space="preserve"> the final rule </w:t>
      </w:r>
      <w:r w:rsidR="00551628" w:rsidRPr="00431BA7">
        <w:rPr>
          <w:rFonts w:cstheme="minorHAnsi"/>
          <w:sz w:val="24"/>
          <w:szCs w:val="24"/>
        </w:rPr>
        <w:t xml:space="preserve">to </w:t>
      </w:r>
      <w:r w:rsidR="0054760F" w:rsidRPr="00431BA7">
        <w:rPr>
          <w:rFonts w:cstheme="minorHAnsi"/>
          <w:sz w:val="24"/>
          <w:szCs w:val="24"/>
        </w:rPr>
        <w:t>require substantiation of CBI claims in substantiation responses or documents</w:t>
      </w:r>
      <w:r w:rsidR="004319B7" w:rsidRPr="00431BA7">
        <w:rPr>
          <w:rFonts w:cstheme="minorHAnsi"/>
          <w:sz w:val="24"/>
          <w:szCs w:val="24"/>
        </w:rPr>
        <w:t xml:space="preserve">. </w:t>
      </w:r>
      <w:r w:rsidR="00F73E65" w:rsidRPr="00431BA7">
        <w:rPr>
          <w:rFonts w:cstheme="minorHAnsi"/>
          <w:sz w:val="24"/>
          <w:szCs w:val="24"/>
        </w:rPr>
        <w:t xml:space="preserve"> </w:t>
      </w:r>
    </w:p>
    <w:p w14:paraId="4E769202" w14:textId="53E6C06B" w:rsidR="004F6AC1" w:rsidRPr="00431BA7" w:rsidRDefault="004F6AC1" w:rsidP="000140FB">
      <w:pPr>
        <w:rPr>
          <w:rFonts w:cstheme="minorHAnsi"/>
          <w:sz w:val="24"/>
          <w:szCs w:val="24"/>
        </w:rPr>
      </w:pPr>
      <w:r w:rsidRPr="00431BA7">
        <w:rPr>
          <w:rFonts w:cstheme="minorHAnsi"/>
          <w:b/>
          <w:bCs/>
          <w:sz w:val="24"/>
          <w:szCs w:val="24"/>
        </w:rPr>
        <w:t>Comment:</w:t>
      </w:r>
      <w:r w:rsidRPr="00431BA7">
        <w:rPr>
          <w:rFonts w:cstheme="minorHAnsi"/>
          <w:sz w:val="24"/>
          <w:szCs w:val="24"/>
        </w:rPr>
        <w:t xml:space="preserve">  EPA received several comments on the proposed and alternative versions of the substantiation question</w:t>
      </w:r>
      <w:r w:rsidR="00EB3781" w:rsidRPr="00431BA7">
        <w:rPr>
          <w:rFonts w:cstheme="minorHAnsi"/>
          <w:sz w:val="24"/>
          <w:szCs w:val="24"/>
        </w:rPr>
        <w:t xml:space="preserve"> regarding competitive harm</w:t>
      </w:r>
      <w:r w:rsidRPr="00431BA7">
        <w:rPr>
          <w:rFonts w:cstheme="minorHAnsi"/>
          <w:sz w:val="24"/>
          <w:szCs w:val="24"/>
        </w:rPr>
        <w:t>.</w:t>
      </w:r>
      <w:r w:rsidR="00864205" w:rsidRPr="00431BA7">
        <w:rPr>
          <w:rFonts w:cstheme="minorHAnsi"/>
          <w:sz w:val="24"/>
          <w:szCs w:val="24"/>
        </w:rPr>
        <w:t xml:space="preserve">  Several commenters supported the proposed version of the question, while others preferred the version of the question currently used for CDR.  One commenter</w:t>
      </w:r>
      <w:r w:rsidR="003A44C2" w:rsidRPr="00431BA7">
        <w:rPr>
          <w:rFonts w:cstheme="minorHAnsi"/>
          <w:sz w:val="24"/>
          <w:szCs w:val="24"/>
        </w:rPr>
        <w:t xml:space="preserve"> criticized the use of “probable” as an example or synonym for “likely,” and argued that EPA should not attempt to define “likely to cause substantial harm to the competitive position of the person.”</w:t>
      </w:r>
    </w:p>
    <w:p w14:paraId="185F2E7D" w14:textId="4BA0DB13" w:rsidR="00085B15" w:rsidRPr="00431BA7" w:rsidRDefault="00085B15" w:rsidP="000140FB">
      <w:pPr>
        <w:rPr>
          <w:rFonts w:cstheme="minorHAnsi"/>
          <w:sz w:val="24"/>
          <w:szCs w:val="24"/>
        </w:rPr>
      </w:pPr>
      <w:r w:rsidRPr="00431BA7">
        <w:rPr>
          <w:rFonts w:cstheme="minorHAnsi"/>
          <w:sz w:val="24"/>
          <w:szCs w:val="24"/>
        </w:rPr>
        <w:t>Source: -0050; -0049; -0044; -0045; -0048; -0041; -0046</w:t>
      </w:r>
    </w:p>
    <w:p w14:paraId="15BDE417" w14:textId="6C0767E2" w:rsidR="000140FB" w:rsidRPr="00431BA7" w:rsidRDefault="00060C02">
      <w:pPr>
        <w:rPr>
          <w:rFonts w:cstheme="minorHAnsi"/>
          <w:b/>
          <w:bCs/>
          <w:sz w:val="24"/>
          <w:szCs w:val="24"/>
        </w:rPr>
      </w:pPr>
      <w:r w:rsidRPr="00431BA7">
        <w:rPr>
          <w:rFonts w:cstheme="minorHAnsi"/>
          <w:b/>
          <w:bCs/>
          <w:sz w:val="24"/>
          <w:szCs w:val="24"/>
        </w:rPr>
        <w:t>Response</w:t>
      </w:r>
      <w:r w:rsidR="0039478C" w:rsidRPr="00431BA7">
        <w:rPr>
          <w:rFonts w:cstheme="minorHAnsi"/>
          <w:b/>
          <w:bCs/>
          <w:sz w:val="24"/>
          <w:szCs w:val="24"/>
        </w:rPr>
        <w:t xml:space="preserve">: </w:t>
      </w:r>
      <w:r w:rsidR="002C6EEF" w:rsidRPr="00431BA7">
        <w:rPr>
          <w:rFonts w:cstheme="minorHAnsi"/>
          <w:b/>
          <w:bCs/>
          <w:sz w:val="24"/>
          <w:szCs w:val="24"/>
        </w:rPr>
        <w:t xml:space="preserve"> </w:t>
      </w:r>
      <w:r w:rsidR="003A44C2" w:rsidRPr="00431BA7">
        <w:rPr>
          <w:rFonts w:cstheme="minorHAnsi"/>
          <w:sz w:val="24"/>
          <w:szCs w:val="24"/>
        </w:rPr>
        <w:t xml:space="preserve">EPA agrees with </w:t>
      </w:r>
      <w:r w:rsidR="00551628" w:rsidRPr="00431BA7">
        <w:rPr>
          <w:rFonts w:cstheme="minorHAnsi"/>
          <w:sz w:val="24"/>
          <w:szCs w:val="24"/>
        </w:rPr>
        <w:t>comments supporting the</w:t>
      </w:r>
      <w:r w:rsidR="003A44C2" w:rsidRPr="00431BA7">
        <w:rPr>
          <w:rFonts w:cstheme="minorHAnsi"/>
          <w:sz w:val="24"/>
          <w:szCs w:val="24"/>
        </w:rPr>
        <w:t xml:space="preserve"> proposed version of the question</w:t>
      </w:r>
      <w:r w:rsidR="00551628" w:rsidRPr="00431BA7">
        <w:rPr>
          <w:rFonts w:cstheme="minorHAnsi"/>
          <w:sz w:val="24"/>
          <w:szCs w:val="24"/>
        </w:rPr>
        <w:t xml:space="preserve"> and has retained it in the final rule</w:t>
      </w:r>
      <w:r w:rsidR="003A44C2" w:rsidRPr="00431BA7">
        <w:rPr>
          <w:rFonts w:cstheme="minorHAnsi"/>
          <w:sz w:val="24"/>
          <w:szCs w:val="24"/>
        </w:rPr>
        <w:t xml:space="preserve">.  The version was developed in part to improve the quality of responses EPA has received using the version </w:t>
      </w:r>
      <w:r w:rsidR="00520742" w:rsidRPr="00431BA7">
        <w:rPr>
          <w:rFonts w:cstheme="minorHAnsi"/>
          <w:sz w:val="24"/>
          <w:szCs w:val="24"/>
        </w:rPr>
        <w:t xml:space="preserve">of the question recently </w:t>
      </w:r>
      <w:r w:rsidR="003A44C2" w:rsidRPr="00431BA7">
        <w:rPr>
          <w:rFonts w:cstheme="minorHAnsi"/>
          <w:sz w:val="24"/>
          <w:szCs w:val="24"/>
        </w:rPr>
        <w:t xml:space="preserve">used </w:t>
      </w:r>
      <w:r w:rsidR="00520742" w:rsidRPr="00431BA7">
        <w:rPr>
          <w:rFonts w:cstheme="minorHAnsi"/>
          <w:sz w:val="24"/>
          <w:szCs w:val="24"/>
        </w:rPr>
        <w:t xml:space="preserve">in 2020 </w:t>
      </w:r>
      <w:r w:rsidR="003A44C2" w:rsidRPr="00431BA7">
        <w:rPr>
          <w:rFonts w:cstheme="minorHAnsi"/>
          <w:sz w:val="24"/>
          <w:szCs w:val="24"/>
        </w:rPr>
        <w:t xml:space="preserve">CDR.  EPA anticipates that </w:t>
      </w:r>
      <w:r w:rsidR="00387B6C" w:rsidRPr="00431BA7">
        <w:rPr>
          <w:rFonts w:cstheme="minorHAnsi"/>
          <w:sz w:val="24"/>
          <w:szCs w:val="24"/>
        </w:rPr>
        <w:t>this</w:t>
      </w:r>
      <w:r w:rsidR="003A44C2" w:rsidRPr="00431BA7">
        <w:rPr>
          <w:rFonts w:cstheme="minorHAnsi"/>
          <w:sz w:val="24"/>
          <w:szCs w:val="24"/>
        </w:rPr>
        <w:t xml:space="preserve"> question</w:t>
      </w:r>
      <w:r w:rsidR="00130388" w:rsidRPr="00431BA7">
        <w:rPr>
          <w:rFonts w:cstheme="minorHAnsi"/>
          <w:sz w:val="24"/>
          <w:szCs w:val="24"/>
        </w:rPr>
        <w:t>, if answered fully,</w:t>
      </w:r>
      <w:r w:rsidR="003A44C2" w:rsidRPr="00431BA7">
        <w:rPr>
          <w:rFonts w:cstheme="minorHAnsi"/>
          <w:sz w:val="24"/>
          <w:szCs w:val="24"/>
        </w:rPr>
        <w:t xml:space="preserve"> </w:t>
      </w:r>
      <w:r w:rsidR="008866EC" w:rsidRPr="00431BA7">
        <w:rPr>
          <w:rFonts w:cstheme="minorHAnsi"/>
          <w:sz w:val="24"/>
          <w:szCs w:val="24"/>
        </w:rPr>
        <w:t>will</w:t>
      </w:r>
      <w:r w:rsidR="003A44C2" w:rsidRPr="00431BA7">
        <w:rPr>
          <w:rFonts w:cstheme="minorHAnsi"/>
          <w:sz w:val="24"/>
          <w:szCs w:val="24"/>
        </w:rPr>
        <w:t xml:space="preserve"> </w:t>
      </w:r>
      <w:r w:rsidR="00F413B2" w:rsidRPr="00431BA7">
        <w:rPr>
          <w:rFonts w:cstheme="minorHAnsi"/>
          <w:sz w:val="24"/>
          <w:szCs w:val="24"/>
        </w:rPr>
        <w:t xml:space="preserve">generally result in </w:t>
      </w:r>
      <w:r w:rsidR="004D475F" w:rsidRPr="00431BA7">
        <w:rPr>
          <w:rFonts w:cstheme="minorHAnsi"/>
          <w:sz w:val="24"/>
          <w:szCs w:val="24"/>
        </w:rPr>
        <w:t xml:space="preserve">CBI claims </w:t>
      </w:r>
      <w:r w:rsidR="00F413B2" w:rsidRPr="00431BA7">
        <w:rPr>
          <w:rFonts w:cstheme="minorHAnsi"/>
          <w:sz w:val="24"/>
          <w:szCs w:val="24"/>
        </w:rPr>
        <w:t>being</w:t>
      </w:r>
      <w:r w:rsidR="004D475F" w:rsidRPr="00431BA7">
        <w:rPr>
          <w:rFonts w:cstheme="minorHAnsi"/>
          <w:sz w:val="24"/>
          <w:szCs w:val="24"/>
        </w:rPr>
        <w:t xml:space="preserve"> better supported</w:t>
      </w:r>
      <w:r w:rsidR="00387B6C" w:rsidRPr="00431BA7">
        <w:rPr>
          <w:rFonts w:cstheme="minorHAnsi"/>
          <w:sz w:val="24"/>
          <w:szCs w:val="24"/>
        </w:rPr>
        <w:t xml:space="preserve"> than with other versions</w:t>
      </w:r>
      <w:r w:rsidR="004D475F" w:rsidRPr="00431BA7">
        <w:rPr>
          <w:rFonts w:cstheme="minorHAnsi"/>
          <w:sz w:val="24"/>
          <w:szCs w:val="24"/>
        </w:rPr>
        <w:t xml:space="preserve">.  </w:t>
      </w:r>
      <w:r w:rsidR="00CA3CEA" w:rsidRPr="00431BA7">
        <w:rPr>
          <w:rFonts w:cstheme="minorHAnsi"/>
          <w:sz w:val="24"/>
          <w:szCs w:val="24"/>
        </w:rPr>
        <w:t>EPA expects that th</w:t>
      </w:r>
      <w:r w:rsidR="00387B6C" w:rsidRPr="00431BA7">
        <w:rPr>
          <w:rFonts w:cstheme="minorHAnsi"/>
          <w:sz w:val="24"/>
          <w:szCs w:val="24"/>
        </w:rPr>
        <w:t xml:space="preserve">is </w:t>
      </w:r>
      <w:r w:rsidR="00CA3CEA" w:rsidRPr="00431BA7">
        <w:rPr>
          <w:rFonts w:cstheme="minorHAnsi"/>
          <w:sz w:val="24"/>
          <w:szCs w:val="24"/>
        </w:rPr>
        <w:t>question will help submitters address the necessary review criteria for each type of information in a submission (</w:t>
      </w:r>
      <w:proofErr w:type="gramStart"/>
      <w:r w:rsidR="00CA3CEA" w:rsidRPr="00431BA7">
        <w:rPr>
          <w:rFonts w:cstheme="minorHAnsi"/>
          <w:sz w:val="24"/>
          <w:szCs w:val="24"/>
        </w:rPr>
        <w:t>e.g.</w:t>
      </w:r>
      <w:proofErr w:type="gramEnd"/>
      <w:r w:rsidR="00CA3CEA" w:rsidRPr="00431BA7">
        <w:rPr>
          <w:rFonts w:cstheme="minorHAnsi"/>
          <w:sz w:val="24"/>
          <w:szCs w:val="24"/>
        </w:rPr>
        <w:t xml:space="preserve"> chemical information, exposure information, company information) that EPA has found to be lacking in specificity at times in submissions it has reviewed over the past several years.  </w:t>
      </w:r>
      <w:r w:rsidR="004D475F" w:rsidRPr="00431BA7">
        <w:rPr>
          <w:rFonts w:cstheme="minorHAnsi"/>
          <w:sz w:val="24"/>
          <w:szCs w:val="24"/>
        </w:rPr>
        <w:t xml:space="preserve"> EPA’s elaborat</w:t>
      </w:r>
      <w:r w:rsidR="00D75D97" w:rsidRPr="00431BA7">
        <w:rPr>
          <w:rFonts w:cstheme="minorHAnsi"/>
          <w:sz w:val="24"/>
          <w:szCs w:val="24"/>
        </w:rPr>
        <w:t>ion</w:t>
      </w:r>
      <w:r w:rsidR="004D475F" w:rsidRPr="00431BA7">
        <w:rPr>
          <w:rFonts w:cstheme="minorHAnsi"/>
          <w:sz w:val="24"/>
          <w:szCs w:val="24"/>
        </w:rPr>
        <w:t xml:space="preserve"> on what is necessary in a response to this question is less an attempt to define substantial competitive harm than it is an explanation of EPA’s expectations for the </w:t>
      </w:r>
      <w:r w:rsidR="00EB5EA7" w:rsidRPr="00431BA7">
        <w:rPr>
          <w:rFonts w:cstheme="minorHAnsi"/>
          <w:sz w:val="24"/>
          <w:szCs w:val="24"/>
        </w:rPr>
        <w:t xml:space="preserve">necessary </w:t>
      </w:r>
      <w:r w:rsidR="004D475F" w:rsidRPr="00431BA7">
        <w:rPr>
          <w:rFonts w:cstheme="minorHAnsi"/>
          <w:sz w:val="24"/>
          <w:szCs w:val="24"/>
        </w:rPr>
        <w:t>level of detail</w:t>
      </w:r>
      <w:r w:rsidR="00EB5EA7" w:rsidRPr="00431BA7">
        <w:rPr>
          <w:rFonts w:cstheme="minorHAnsi"/>
          <w:sz w:val="24"/>
          <w:szCs w:val="24"/>
        </w:rPr>
        <w:t xml:space="preserve"> in a </w:t>
      </w:r>
      <w:r w:rsidR="00355211" w:rsidRPr="00431BA7">
        <w:rPr>
          <w:rFonts w:cstheme="minorHAnsi"/>
          <w:sz w:val="24"/>
          <w:szCs w:val="24"/>
        </w:rPr>
        <w:t xml:space="preserve">claim </w:t>
      </w:r>
      <w:r w:rsidR="00EB5EA7" w:rsidRPr="00431BA7">
        <w:rPr>
          <w:rFonts w:cstheme="minorHAnsi"/>
          <w:sz w:val="24"/>
          <w:szCs w:val="24"/>
        </w:rPr>
        <w:t>substantiation</w:t>
      </w:r>
      <w:r w:rsidR="003B56DD" w:rsidRPr="00431BA7">
        <w:rPr>
          <w:rFonts w:cstheme="minorHAnsi"/>
          <w:sz w:val="24"/>
          <w:szCs w:val="24"/>
        </w:rPr>
        <w:t xml:space="preserve">. </w:t>
      </w:r>
      <w:r w:rsidR="00A86239" w:rsidRPr="00431BA7">
        <w:rPr>
          <w:rFonts w:cstheme="minorHAnsi"/>
          <w:sz w:val="24"/>
          <w:szCs w:val="24"/>
        </w:rPr>
        <w:t>This</w:t>
      </w:r>
      <w:r w:rsidR="004D475F" w:rsidRPr="00431BA7">
        <w:rPr>
          <w:rFonts w:cstheme="minorHAnsi"/>
          <w:sz w:val="24"/>
          <w:szCs w:val="24"/>
        </w:rPr>
        <w:t xml:space="preserve"> specificity would </w:t>
      </w:r>
      <w:r w:rsidR="00A86239" w:rsidRPr="00431BA7">
        <w:rPr>
          <w:rFonts w:cstheme="minorHAnsi"/>
          <w:sz w:val="24"/>
          <w:szCs w:val="24"/>
        </w:rPr>
        <w:t xml:space="preserve">help </w:t>
      </w:r>
      <w:r w:rsidR="004D475F" w:rsidRPr="00431BA7">
        <w:rPr>
          <w:rFonts w:cstheme="minorHAnsi"/>
          <w:sz w:val="24"/>
          <w:szCs w:val="24"/>
        </w:rPr>
        <w:t xml:space="preserve">support an EPA determination that the submitter of the claim has adequately demonstrated it has a reasonable basis for its conclusions about the likelihood of </w:t>
      </w:r>
      <w:r w:rsidR="00D75D97" w:rsidRPr="00431BA7">
        <w:rPr>
          <w:rFonts w:cstheme="minorHAnsi"/>
          <w:sz w:val="24"/>
          <w:szCs w:val="24"/>
        </w:rPr>
        <w:t>substantial competitive harm.</w:t>
      </w:r>
      <w:r w:rsidR="004D475F" w:rsidRPr="00431BA7">
        <w:rPr>
          <w:rFonts w:cstheme="minorHAnsi"/>
          <w:sz w:val="24"/>
          <w:szCs w:val="24"/>
        </w:rPr>
        <w:t xml:space="preserve"> </w:t>
      </w:r>
    </w:p>
    <w:p w14:paraId="1A035410" w14:textId="76064667" w:rsidR="003A40FB" w:rsidRPr="00431BA7" w:rsidRDefault="003A40FB" w:rsidP="002C6EEF">
      <w:pPr>
        <w:rPr>
          <w:rFonts w:cstheme="minorHAnsi"/>
          <w:sz w:val="24"/>
          <w:szCs w:val="24"/>
        </w:rPr>
      </w:pPr>
      <w:r w:rsidRPr="00431BA7">
        <w:rPr>
          <w:rFonts w:cstheme="minorHAnsi"/>
          <w:b/>
          <w:bCs/>
          <w:sz w:val="24"/>
          <w:szCs w:val="24"/>
        </w:rPr>
        <w:t xml:space="preserve">Comment: </w:t>
      </w:r>
      <w:r w:rsidRPr="00431BA7">
        <w:rPr>
          <w:rFonts w:cstheme="minorHAnsi"/>
          <w:sz w:val="24"/>
          <w:szCs w:val="24"/>
        </w:rPr>
        <w:t>Several commenters supported omission of a patent-specific question, either because of a view that disclosure of information in a patent context is so remote from public disclosure in other contexts that it essentially shouldn’t ever be considered public disclosure of CBI, or because of a view that information disclosed in a patent should always be considered a disclosure and that EPA should not invite argumentation to the contrary.</w:t>
      </w:r>
    </w:p>
    <w:p w14:paraId="69C7C39E" w14:textId="07D9D17A" w:rsidR="00085B15" w:rsidRPr="00431BA7" w:rsidRDefault="00085B15" w:rsidP="002C6EEF">
      <w:pPr>
        <w:rPr>
          <w:rFonts w:cstheme="minorHAnsi"/>
          <w:sz w:val="24"/>
          <w:szCs w:val="24"/>
        </w:rPr>
      </w:pPr>
      <w:r w:rsidRPr="00431BA7">
        <w:rPr>
          <w:rFonts w:cstheme="minorHAnsi"/>
          <w:sz w:val="24"/>
          <w:szCs w:val="24"/>
        </w:rPr>
        <w:t>Source: -0050; -0044; -0046</w:t>
      </w:r>
      <w:r w:rsidR="00806F54" w:rsidRPr="00431BA7">
        <w:rPr>
          <w:rFonts w:cstheme="minorHAnsi"/>
          <w:sz w:val="24"/>
          <w:szCs w:val="24"/>
        </w:rPr>
        <w:t>; -0045; -0052</w:t>
      </w:r>
    </w:p>
    <w:p w14:paraId="41B75259" w14:textId="37ED6E30" w:rsidR="002C6EEF" w:rsidRPr="00431BA7" w:rsidRDefault="00060C02" w:rsidP="002C6EEF">
      <w:pPr>
        <w:rPr>
          <w:rFonts w:cstheme="minorHAnsi"/>
          <w:b/>
          <w:bCs/>
          <w:sz w:val="24"/>
          <w:szCs w:val="24"/>
        </w:rPr>
      </w:pPr>
      <w:r w:rsidRPr="00431BA7">
        <w:rPr>
          <w:rFonts w:cstheme="minorHAnsi"/>
          <w:b/>
          <w:bCs/>
          <w:sz w:val="24"/>
          <w:szCs w:val="24"/>
        </w:rPr>
        <w:t>Response</w:t>
      </w:r>
      <w:r w:rsidR="0039478C" w:rsidRPr="00431BA7">
        <w:rPr>
          <w:rFonts w:cstheme="minorHAnsi"/>
          <w:b/>
          <w:bCs/>
          <w:sz w:val="24"/>
          <w:szCs w:val="24"/>
        </w:rPr>
        <w:t>:</w:t>
      </w:r>
      <w:r w:rsidR="0039478C" w:rsidRPr="00431BA7">
        <w:rPr>
          <w:rFonts w:cstheme="minorHAnsi"/>
          <w:b/>
          <w:bCs/>
          <w:i/>
          <w:iCs/>
          <w:sz w:val="24"/>
          <w:szCs w:val="24"/>
        </w:rPr>
        <w:t xml:space="preserve"> </w:t>
      </w:r>
      <w:r w:rsidR="002C6EEF" w:rsidRPr="00431BA7">
        <w:rPr>
          <w:rFonts w:cstheme="minorHAnsi"/>
          <w:b/>
          <w:bCs/>
          <w:sz w:val="24"/>
          <w:szCs w:val="24"/>
        </w:rPr>
        <w:t xml:space="preserve"> </w:t>
      </w:r>
      <w:r w:rsidR="00EF1946" w:rsidRPr="00431BA7">
        <w:rPr>
          <w:rFonts w:cstheme="minorHAnsi"/>
          <w:sz w:val="24"/>
          <w:szCs w:val="24"/>
        </w:rPr>
        <w:t xml:space="preserve">EPA finds the arguments of </w:t>
      </w:r>
      <w:r w:rsidR="00BF6BC3" w:rsidRPr="00431BA7">
        <w:rPr>
          <w:rFonts w:cstheme="minorHAnsi"/>
          <w:sz w:val="24"/>
          <w:szCs w:val="24"/>
        </w:rPr>
        <w:t xml:space="preserve">many </w:t>
      </w:r>
      <w:r w:rsidR="00EF1946" w:rsidRPr="00431BA7">
        <w:rPr>
          <w:rFonts w:cstheme="minorHAnsi"/>
          <w:sz w:val="24"/>
          <w:szCs w:val="24"/>
        </w:rPr>
        <w:t>commenters persuasive</w:t>
      </w:r>
      <w:r w:rsidR="007E1F22" w:rsidRPr="00431BA7">
        <w:rPr>
          <w:rFonts w:cstheme="minorHAnsi"/>
          <w:sz w:val="24"/>
          <w:szCs w:val="24"/>
        </w:rPr>
        <w:t>—</w:t>
      </w:r>
      <w:r w:rsidR="00EF1946" w:rsidRPr="00431BA7">
        <w:rPr>
          <w:rFonts w:cstheme="minorHAnsi"/>
          <w:sz w:val="24"/>
          <w:szCs w:val="24"/>
        </w:rPr>
        <w:t>that</w:t>
      </w:r>
      <w:r w:rsidR="007E1F22" w:rsidRPr="00431BA7">
        <w:rPr>
          <w:rFonts w:cstheme="minorHAnsi"/>
          <w:sz w:val="24"/>
          <w:szCs w:val="24"/>
        </w:rPr>
        <w:t xml:space="preserve"> disclosure of information claimed as CBI such as chemical identity</w:t>
      </w:r>
      <w:r w:rsidR="00EF1946" w:rsidRPr="00431BA7">
        <w:rPr>
          <w:rFonts w:cstheme="minorHAnsi"/>
          <w:sz w:val="24"/>
          <w:szCs w:val="24"/>
        </w:rPr>
        <w:t xml:space="preserve"> </w:t>
      </w:r>
      <w:r w:rsidR="000D3309" w:rsidRPr="00431BA7">
        <w:rPr>
          <w:rFonts w:cstheme="minorHAnsi"/>
          <w:sz w:val="24"/>
          <w:szCs w:val="24"/>
        </w:rPr>
        <w:t xml:space="preserve">in </w:t>
      </w:r>
      <w:r w:rsidR="00EF1946" w:rsidRPr="00431BA7">
        <w:rPr>
          <w:rFonts w:cstheme="minorHAnsi"/>
          <w:sz w:val="24"/>
          <w:szCs w:val="24"/>
        </w:rPr>
        <w:t xml:space="preserve">a patent may not be a disclosure at all, given that </w:t>
      </w:r>
      <w:r w:rsidR="000D3309" w:rsidRPr="00431BA7">
        <w:rPr>
          <w:rFonts w:cstheme="minorHAnsi"/>
          <w:sz w:val="24"/>
          <w:szCs w:val="24"/>
        </w:rPr>
        <w:t>a patent</w:t>
      </w:r>
      <w:r w:rsidR="00EF1946" w:rsidRPr="00431BA7">
        <w:rPr>
          <w:rFonts w:cstheme="minorHAnsi"/>
          <w:sz w:val="24"/>
          <w:szCs w:val="24"/>
        </w:rPr>
        <w:t xml:space="preserve"> may lack key details or steps</w:t>
      </w:r>
      <w:r w:rsidR="000D3309" w:rsidRPr="00431BA7">
        <w:rPr>
          <w:rFonts w:cstheme="minorHAnsi"/>
          <w:sz w:val="24"/>
          <w:szCs w:val="24"/>
        </w:rPr>
        <w:t xml:space="preserve"> about the creation of the substance</w:t>
      </w:r>
      <w:r w:rsidR="00CA3CEA" w:rsidRPr="00431BA7">
        <w:rPr>
          <w:rFonts w:cstheme="minorHAnsi"/>
          <w:sz w:val="24"/>
          <w:szCs w:val="24"/>
        </w:rPr>
        <w:t>,</w:t>
      </w:r>
      <w:r w:rsidR="00076BC3" w:rsidRPr="00431BA7">
        <w:rPr>
          <w:rFonts w:cstheme="minorHAnsi"/>
          <w:sz w:val="24"/>
          <w:szCs w:val="24"/>
        </w:rPr>
        <w:t xml:space="preserve"> or</w:t>
      </w:r>
      <w:r w:rsidR="00EF1946" w:rsidRPr="00431BA7">
        <w:rPr>
          <w:rFonts w:cstheme="minorHAnsi"/>
          <w:sz w:val="24"/>
          <w:szCs w:val="24"/>
        </w:rPr>
        <w:t xml:space="preserve"> that </w:t>
      </w:r>
      <w:r w:rsidR="000A7CAF" w:rsidRPr="00431BA7">
        <w:rPr>
          <w:rFonts w:cstheme="minorHAnsi"/>
          <w:sz w:val="24"/>
          <w:szCs w:val="24"/>
        </w:rPr>
        <w:t xml:space="preserve">the </w:t>
      </w:r>
      <w:r w:rsidR="00CA3CEA" w:rsidRPr="00431BA7">
        <w:rPr>
          <w:rFonts w:cstheme="minorHAnsi"/>
          <w:sz w:val="24"/>
          <w:szCs w:val="24"/>
        </w:rPr>
        <w:t xml:space="preserve">commercialized </w:t>
      </w:r>
      <w:r w:rsidR="000A7CAF" w:rsidRPr="00431BA7">
        <w:rPr>
          <w:rFonts w:cstheme="minorHAnsi"/>
          <w:sz w:val="24"/>
          <w:szCs w:val="24"/>
        </w:rPr>
        <w:t>substance</w:t>
      </w:r>
      <w:r w:rsidR="00EF1946" w:rsidRPr="00431BA7">
        <w:rPr>
          <w:rFonts w:cstheme="minorHAnsi"/>
          <w:sz w:val="24"/>
          <w:szCs w:val="24"/>
        </w:rPr>
        <w:t xml:space="preserve"> might appear </w:t>
      </w:r>
      <w:r w:rsidR="00CA3CEA" w:rsidRPr="00431BA7">
        <w:rPr>
          <w:rFonts w:cstheme="minorHAnsi"/>
          <w:sz w:val="24"/>
          <w:szCs w:val="24"/>
        </w:rPr>
        <w:t xml:space="preserve">in the patent </w:t>
      </w:r>
      <w:r w:rsidR="00EF1946" w:rsidRPr="00431BA7">
        <w:rPr>
          <w:rFonts w:cstheme="minorHAnsi"/>
          <w:sz w:val="24"/>
          <w:szCs w:val="24"/>
        </w:rPr>
        <w:t>as a</w:t>
      </w:r>
      <w:r w:rsidR="00F83D67" w:rsidRPr="00431BA7">
        <w:rPr>
          <w:rFonts w:cstheme="minorHAnsi"/>
          <w:sz w:val="24"/>
          <w:szCs w:val="24"/>
        </w:rPr>
        <w:t xml:space="preserve"> </w:t>
      </w:r>
      <w:r w:rsidR="008B0CAC" w:rsidRPr="00431BA7">
        <w:rPr>
          <w:rFonts w:cstheme="minorHAnsi"/>
          <w:sz w:val="24"/>
          <w:szCs w:val="24"/>
        </w:rPr>
        <w:t xml:space="preserve">one </w:t>
      </w:r>
      <w:r w:rsidR="00EF1946" w:rsidRPr="00431BA7">
        <w:rPr>
          <w:rFonts w:cstheme="minorHAnsi"/>
          <w:sz w:val="24"/>
          <w:szCs w:val="24"/>
        </w:rPr>
        <w:t xml:space="preserve">component of </w:t>
      </w:r>
      <w:r w:rsidR="0013163A" w:rsidRPr="00431BA7">
        <w:rPr>
          <w:rFonts w:cstheme="minorHAnsi"/>
          <w:sz w:val="24"/>
          <w:szCs w:val="24"/>
        </w:rPr>
        <w:t xml:space="preserve">a series </w:t>
      </w:r>
      <w:r w:rsidR="00B24AEB" w:rsidRPr="00431BA7">
        <w:rPr>
          <w:rFonts w:cstheme="minorHAnsi"/>
          <w:sz w:val="24"/>
          <w:szCs w:val="24"/>
        </w:rPr>
        <w:t xml:space="preserve">created by a </w:t>
      </w:r>
      <w:r w:rsidR="00EF1946" w:rsidRPr="00431BA7">
        <w:rPr>
          <w:rFonts w:cstheme="minorHAnsi"/>
          <w:sz w:val="24"/>
          <w:szCs w:val="24"/>
        </w:rPr>
        <w:t>complex process</w:t>
      </w:r>
      <w:r w:rsidR="00CA3CEA" w:rsidRPr="00431BA7">
        <w:rPr>
          <w:rFonts w:cstheme="minorHAnsi"/>
          <w:sz w:val="24"/>
          <w:szCs w:val="24"/>
        </w:rPr>
        <w:t xml:space="preserve"> that does not allow a reader to discern what component is commercially valuable</w:t>
      </w:r>
      <w:r w:rsidR="00076BC3" w:rsidRPr="00431BA7">
        <w:rPr>
          <w:rFonts w:cstheme="minorHAnsi"/>
          <w:sz w:val="24"/>
          <w:szCs w:val="24"/>
        </w:rPr>
        <w:t xml:space="preserve">. </w:t>
      </w:r>
      <w:r w:rsidR="004D782B" w:rsidRPr="00431BA7">
        <w:rPr>
          <w:rFonts w:cstheme="minorHAnsi"/>
          <w:sz w:val="24"/>
          <w:szCs w:val="24"/>
        </w:rPr>
        <w:t>In addition</w:t>
      </w:r>
      <w:r w:rsidR="00076BC3" w:rsidRPr="00431BA7">
        <w:rPr>
          <w:rFonts w:cstheme="minorHAnsi"/>
          <w:sz w:val="24"/>
          <w:szCs w:val="24"/>
        </w:rPr>
        <w:t>,</w:t>
      </w:r>
      <w:r w:rsidR="00EF1946" w:rsidRPr="00431BA7">
        <w:rPr>
          <w:rFonts w:cstheme="minorHAnsi"/>
          <w:sz w:val="24"/>
          <w:szCs w:val="24"/>
        </w:rPr>
        <w:t xml:space="preserve"> inclusion </w:t>
      </w:r>
      <w:r w:rsidR="00AF0EDF" w:rsidRPr="00431BA7">
        <w:rPr>
          <w:rFonts w:cstheme="minorHAnsi"/>
          <w:sz w:val="24"/>
          <w:szCs w:val="24"/>
        </w:rPr>
        <w:t xml:space="preserve">of a </w:t>
      </w:r>
      <w:r w:rsidR="00CB1BA1" w:rsidRPr="00431BA7">
        <w:rPr>
          <w:rFonts w:cstheme="minorHAnsi"/>
          <w:sz w:val="24"/>
          <w:szCs w:val="24"/>
        </w:rPr>
        <w:t xml:space="preserve">chemical </w:t>
      </w:r>
      <w:r w:rsidR="00AF0EDF" w:rsidRPr="00431BA7">
        <w:rPr>
          <w:rFonts w:cstheme="minorHAnsi"/>
          <w:sz w:val="24"/>
          <w:szCs w:val="24"/>
        </w:rPr>
        <w:t xml:space="preserve">substance </w:t>
      </w:r>
      <w:r w:rsidR="00EF1946" w:rsidRPr="00431BA7">
        <w:rPr>
          <w:rFonts w:cstheme="minorHAnsi"/>
          <w:sz w:val="24"/>
          <w:szCs w:val="24"/>
        </w:rPr>
        <w:t>in a patent application (in the case of chemical identi</w:t>
      </w:r>
      <w:r w:rsidR="00CB1BA1" w:rsidRPr="00431BA7">
        <w:rPr>
          <w:rFonts w:cstheme="minorHAnsi"/>
          <w:sz w:val="24"/>
          <w:szCs w:val="24"/>
        </w:rPr>
        <w:t>ty claims</w:t>
      </w:r>
      <w:r w:rsidR="00EF1946" w:rsidRPr="00431BA7">
        <w:rPr>
          <w:rFonts w:cstheme="minorHAnsi"/>
          <w:sz w:val="24"/>
          <w:szCs w:val="24"/>
        </w:rPr>
        <w:t xml:space="preserve">) does not mean that the chemical </w:t>
      </w:r>
      <w:r w:rsidR="00BF01D2" w:rsidRPr="00431BA7">
        <w:rPr>
          <w:rFonts w:cstheme="minorHAnsi"/>
          <w:sz w:val="24"/>
          <w:szCs w:val="24"/>
        </w:rPr>
        <w:t xml:space="preserve">subject to the TSCA </w:t>
      </w:r>
      <w:r w:rsidR="00BF01D2" w:rsidRPr="00431BA7">
        <w:rPr>
          <w:rFonts w:cstheme="minorHAnsi"/>
          <w:sz w:val="24"/>
          <w:szCs w:val="24"/>
        </w:rPr>
        <w:lastRenderedPageBreak/>
        <w:t xml:space="preserve">submission </w:t>
      </w:r>
      <w:r w:rsidR="00EF1946" w:rsidRPr="00431BA7">
        <w:rPr>
          <w:rFonts w:cstheme="minorHAnsi"/>
          <w:sz w:val="24"/>
          <w:szCs w:val="24"/>
        </w:rPr>
        <w:t xml:space="preserve">has been commercialized.  </w:t>
      </w:r>
      <w:r w:rsidR="00CF63CE" w:rsidRPr="00431BA7">
        <w:rPr>
          <w:rFonts w:cstheme="minorHAnsi"/>
          <w:sz w:val="24"/>
          <w:szCs w:val="24"/>
        </w:rPr>
        <w:t xml:space="preserve">Therefore, </w:t>
      </w:r>
      <w:r w:rsidR="00575647" w:rsidRPr="00431BA7">
        <w:rPr>
          <w:rFonts w:cstheme="minorHAnsi"/>
          <w:sz w:val="24"/>
          <w:szCs w:val="24"/>
        </w:rPr>
        <w:t xml:space="preserve">EPA has omitted </w:t>
      </w:r>
      <w:r w:rsidR="00CF63CE" w:rsidRPr="00431BA7">
        <w:rPr>
          <w:rFonts w:cstheme="minorHAnsi"/>
          <w:sz w:val="24"/>
          <w:szCs w:val="24"/>
        </w:rPr>
        <w:t xml:space="preserve">the </w:t>
      </w:r>
      <w:r w:rsidR="00575647" w:rsidRPr="00431BA7">
        <w:rPr>
          <w:rFonts w:cstheme="minorHAnsi"/>
          <w:sz w:val="24"/>
          <w:szCs w:val="24"/>
        </w:rPr>
        <w:t>proposed patent-specific substantiation question</w:t>
      </w:r>
      <w:r w:rsidR="00CF63CE" w:rsidRPr="00431BA7">
        <w:rPr>
          <w:rFonts w:cstheme="minorHAnsi"/>
          <w:sz w:val="24"/>
          <w:szCs w:val="24"/>
        </w:rPr>
        <w:t xml:space="preserve"> from the final rule</w:t>
      </w:r>
      <w:r w:rsidR="00575647" w:rsidRPr="00431BA7">
        <w:rPr>
          <w:rFonts w:cstheme="minorHAnsi"/>
          <w:sz w:val="24"/>
          <w:szCs w:val="24"/>
        </w:rPr>
        <w:t>.  However, t</w:t>
      </w:r>
      <w:r w:rsidR="00EF1946" w:rsidRPr="00431BA7">
        <w:rPr>
          <w:rFonts w:cstheme="minorHAnsi"/>
          <w:sz w:val="24"/>
          <w:szCs w:val="24"/>
        </w:rPr>
        <w:t xml:space="preserve">o the extent that the </w:t>
      </w:r>
      <w:r w:rsidR="00CF63CE" w:rsidRPr="00431BA7">
        <w:rPr>
          <w:rFonts w:cstheme="minorHAnsi"/>
          <w:sz w:val="24"/>
          <w:szCs w:val="24"/>
        </w:rPr>
        <w:t>any of the information claimed confidential</w:t>
      </w:r>
      <w:r w:rsidR="00575647" w:rsidRPr="00431BA7">
        <w:rPr>
          <w:rFonts w:cstheme="minorHAnsi"/>
          <w:sz w:val="24"/>
          <w:szCs w:val="24"/>
        </w:rPr>
        <w:t xml:space="preserve"> </w:t>
      </w:r>
      <w:r w:rsidR="00575647" w:rsidRPr="00431BA7">
        <w:rPr>
          <w:rFonts w:cstheme="minorHAnsi"/>
          <w:i/>
          <w:iCs/>
          <w:sz w:val="24"/>
          <w:szCs w:val="24"/>
        </w:rPr>
        <w:t>is</w:t>
      </w:r>
      <w:r w:rsidR="00575647" w:rsidRPr="00431BA7">
        <w:rPr>
          <w:rFonts w:cstheme="minorHAnsi"/>
          <w:sz w:val="24"/>
          <w:szCs w:val="24"/>
        </w:rPr>
        <w:t xml:space="preserve"> included in a patent</w:t>
      </w:r>
      <w:r w:rsidR="00EF1946" w:rsidRPr="00431BA7">
        <w:rPr>
          <w:rFonts w:cstheme="minorHAnsi"/>
          <w:sz w:val="24"/>
          <w:szCs w:val="24"/>
        </w:rPr>
        <w:t xml:space="preserve">, submitters </w:t>
      </w:r>
      <w:r w:rsidR="00575647" w:rsidRPr="00431BA7">
        <w:rPr>
          <w:rFonts w:cstheme="minorHAnsi"/>
          <w:sz w:val="24"/>
          <w:szCs w:val="24"/>
        </w:rPr>
        <w:t xml:space="preserve">must still </w:t>
      </w:r>
      <w:r w:rsidR="00EF1946" w:rsidRPr="00431BA7">
        <w:rPr>
          <w:rFonts w:cstheme="minorHAnsi"/>
          <w:sz w:val="24"/>
          <w:szCs w:val="24"/>
        </w:rPr>
        <w:t>address it in the more general question about public disclosure</w:t>
      </w:r>
      <w:r w:rsidR="00575647" w:rsidRPr="00431BA7">
        <w:rPr>
          <w:rFonts w:cstheme="minorHAnsi"/>
          <w:sz w:val="24"/>
          <w:szCs w:val="24"/>
        </w:rPr>
        <w:t xml:space="preserve"> included in the final rule at 40 CFR 703.5(b)(3)(iii).  The question has been expanded in the final rule to address disclosure in patents specifically. </w:t>
      </w:r>
    </w:p>
    <w:p w14:paraId="70112145" w14:textId="5D45FF16" w:rsidR="00171F7D" w:rsidRPr="00431BA7" w:rsidRDefault="00171F7D" w:rsidP="00C07ACB">
      <w:pPr>
        <w:rPr>
          <w:rFonts w:cstheme="minorHAnsi"/>
          <w:sz w:val="24"/>
          <w:szCs w:val="24"/>
        </w:rPr>
      </w:pPr>
      <w:r w:rsidRPr="00431BA7">
        <w:rPr>
          <w:rFonts w:cstheme="minorHAnsi"/>
          <w:b/>
          <w:bCs/>
          <w:sz w:val="24"/>
          <w:szCs w:val="24"/>
        </w:rPr>
        <w:t xml:space="preserve">Comment: </w:t>
      </w:r>
      <w:r w:rsidR="004656D6" w:rsidRPr="00431BA7">
        <w:rPr>
          <w:rFonts w:cstheme="minorHAnsi"/>
          <w:sz w:val="24"/>
          <w:szCs w:val="24"/>
        </w:rPr>
        <w:t>Three</w:t>
      </w:r>
      <w:r w:rsidRPr="00431BA7">
        <w:rPr>
          <w:rFonts w:cstheme="minorHAnsi"/>
          <w:sz w:val="24"/>
          <w:szCs w:val="24"/>
        </w:rPr>
        <w:t xml:space="preserve"> commenters made comments concerning the proposal to omit a trade secrets-specific question</w:t>
      </w:r>
      <w:r w:rsidR="009550F6" w:rsidRPr="00431BA7">
        <w:rPr>
          <w:rFonts w:cstheme="minorHAnsi"/>
          <w:sz w:val="24"/>
          <w:szCs w:val="24"/>
        </w:rPr>
        <w:t xml:space="preserve"> from </w:t>
      </w:r>
      <w:r w:rsidR="00387B6C" w:rsidRPr="00431BA7">
        <w:rPr>
          <w:rFonts w:cstheme="minorHAnsi"/>
          <w:sz w:val="24"/>
          <w:szCs w:val="24"/>
        </w:rPr>
        <w:t xml:space="preserve">40 CFR </w:t>
      </w:r>
      <w:r w:rsidR="009550F6" w:rsidRPr="00431BA7">
        <w:rPr>
          <w:rFonts w:cstheme="minorHAnsi"/>
          <w:sz w:val="24"/>
          <w:szCs w:val="24"/>
        </w:rPr>
        <w:t>703.5(b)</w:t>
      </w:r>
      <w:r w:rsidRPr="00431BA7">
        <w:rPr>
          <w:rFonts w:cstheme="minorHAnsi"/>
          <w:sz w:val="24"/>
          <w:szCs w:val="24"/>
        </w:rPr>
        <w:t>.</w:t>
      </w:r>
      <w:r w:rsidR="00C07ACB" w:rsidRPr="00431BA7">
        <w:rPr>
          <w:rFonts w:cstheme="minorHAnsi"/>
          <w:sz w:val="24"/>
          <w:szCs w:val="24"/>
        </w:rPr>
        <w:t xml:space="preserve">  One commenter noted that FOIA Exemption 4 distinguishes between confidential and trade secret information and on that basis supported retaining a trade secrets-specific question.  Two other commenters agreed that it was difficult to imagine a circumstance where information would constitute a trade secret but not CBI</w:t>
      </w:r>
      <w:r w:rsidR="009550F6" w:rsidRPr="00431BA7">
        <w:rPr>
          <w:rFonts w:cstheme="minorHAnsi"/>
          <w:sz w:val="24"/>
          <w:szCs w:val="24"/>
        </w:rPr>
        <w:t>.</w:t>
      </w:r>
    </w:p>
    <w:p w14:paraId="5395F4C6" w14:textId="56114697" w:rsidR="00806F54" w:rsidRPr="00431BA7" w:rsidRDefault="00806F54">
      <w:pPr>
        <w:rPr>
          <w:rFonts w:cstheme="minorHAnsi"/>
          <w:b/>
          <w:bCs/>
          <w:sz w:val="24"/>
          <w:szCs w:val="24"/>
        </w:rPr>
      </w:pPr>
      <w:r w:rsidRPr="00431BA7">
        <w:rPr>
          <w:rFonts w:cstheme="minorHAnsi"/>
          <w:sz w:val="24"/>
          <w:szCs w:val="24"/>
        </w:rPr>
        <w:t>Source: -0051; -0053; -0044</w:t>
      </w:r>
    </w:p>
    <w:p w14:paraId="3385EAC9" w14:textId="3719225C" w:rsidR="000140FB" w:rsidRPr="00431BA7" w:rsidRDefault="00060C02">
      <w:pPr>
        <w:rPr>
          <w:rFonts w:cstheme="minorHAnsi"/>
          <w:b/>
          <w:bCs/>
          <w:sz w:val="24"/>
          <w:szCs w:val="24"/>
        </w:rPr>
      </w:pPr>
      <w:r w:rsidRPr="00431BA7">
        <w:rPr>
          <w:rFonts w:cstheme="minorHAnsi"/>
          <w:b/>
          <w:bCs/>
          <w:sz w:val="24"/>
          <w:szCs w:val="24"/>
        </w:rPr>
        <w:t>Response</w:t>
      </w:r>
      <w:r w:rsidR="0039478C" w:rsidRPr="00431BA7">
        <w:rPr>
          <w:rFonts w:cstheme="minorHAnsi"/>
          <w:b/>
          <w:bCs/>
          <w:sz w:val="24"/>
          <w:szCs w:val="24"/>
        </w:rPr>
        <w:t xml:space="preserve">: </w:t>
      </w:r>
      <w:r w:rsidR="002C6EEF" w:rsidRPr="00431BA7">
        <w:rPr>
          <w:rFonts w:cstheme="minorHAnsi"/>
          <w:b/>
          <w:bCs/>
          <w:sz w:val="24"/>
          <w:szCs w:val="24"/>
        </w:rPr>
        <w:t xml:space="preserve"> </w:t>
      </w:r>
      <w:r w:rsidR="00C07ACB" w:rsidRPr="00431BA7">
        <w:rPr>
          <w:rFonts w:cstheme="minorHAnsi"/>
          <w:sz w:val="24"/>
          <w:szCs w:val="24"/>
        </w:rPr>
        <w:t>EPA agrees</w:t>
      </w:r>
      <w:r w:rsidR="004656D6" w:rsidRPr="00431BA7">
        <w:rPr>
          <w:rFonts w:cstheme="minorHAnsi"/>
          <w:sz w:val="24"/>
          <w:szCs w:val="24"/>
        </w:rPr>
        <w:t xml:space="preserve"> that FOIA </w:t>
      </w:r>
      <w:r w:rsidR="004319B7" w:rsidRPr="00431BA7">
        <w:rPr>
          <w:rFonts w:cstheme="minorHAnsi"/>
          <w:sz w:val="24"/>
          <w:szCs w:val="24"/>
        </w:rPr>
        <w:t>E</w:t>
      </w:r>
      <w:r w:rsidR="004656D6" w:rsidRPr="00431BA7">
        <w:rPr>
          <w:rFonts w:cstheme="minorHAnsi"/>
          <w:sz w:val="24"/>
          <w:szCs w:val="24"/>
        </w:rPr>
        <w:t xml:space="preserve">xemption 4 distinguishes between confidential and trade secret information, </w:t>
      </w:r>
      <w:r w:rsidR="00C07ACB" w:rsidRPr="00431BA7">
        <w:rPr>
          <w:rFonts w:cstheme="minorHAnsi"/>
          <w:sz w:val="24"/>
          <w:szCs w:val="24"/>
        </w:rPr>
        <w:t>but i</w:t>
      </w:r>
      <w:r w:rsidR="00D764E6" w:rsidRPr="00431BA7">
        <w:rPr>
          <w:rFonts w:cstheme="minorHAnsi"/>
          <w:sz w:val="24"/>
          <w:szCs w:val="24"/>
        </w:rPr>
        <w:t>n</w:t>
      </w:r>
      <w:r w:rsidR="004656D6" w:rsidRPr="00431BA7">
        <w:rPr>
          <w:rFonts w:cstheme="minorHAnsi"/>
          <w:sz w:val="24"/>
          <w:szCs w:val="24"/>
        </w:rPr>
        <w:t xml:space="preserve"> the context of the review of TSCA CBI claims, it is a distinction </w:t>
      </w:r>
      <w:r w:rsidR="003A40FB" w:rsidRPr="00431BA7">
        <w:rPr>
          <w:rFonts w:cstheme="minorHAnsi"/>
          <w:sz w:val="24"/>
          <w:szCs w:val="24"/>
        </w:rPr>
        <w:t xml:space="preserve">that does not make a difference to the outcome of the </w:t>
      </w:r>
      <w:r w:rsidR="004319B7" w:rsidRPr="00431BA7">
        <w:rPr>
          <w:rFonts w:cstheme="minorHAnsi"/>
          <w:sz w:val="24"/>
          <w:szCs w:val="24"/>
        </w:rPr>
        <w:t xml:space="preserve">TSCA </w:t>
      </w:r>
      <w:r w:rsidR="003A40FB" w:rsidRPr="00431BA7">
        <w:rPr>
          <w:rFonts w:cstheme="minorHAnsi"/>
          <w:sz w:val="24"/>
          <w:szCs w:val="24"/>
        </w:rPr>
        <w:t>CBI review</w:t>
      </w:r>
      <w:r w:rsidR="004656D6" w:rsidRPr="00431BA7">
        <w:rPr>
          <w:rFonts w:cstheme="minorHAnsi"/>
          <w:sz w:val="24"/>
          <w:szCs w:val="24"/>
        </w:rPr>
        <w:t>.</w:t>
      </w:r>
      <w:r w:rsidR="004656D6" w:rsidRPr="00431BA7">
        <w:rPr>
          <w:rFonts w:cstheme="minorHAnsi"/>
          <w:b/>
          <w:bCs/>
          <w:sz w:val="24"/>
          <w:szCs w:val="24"/>
        </w:rPr>
        <w:t xml:space="preserve">  </w:t>
      </w:r>
      <w:r w:rsidR="000B6A2A" w:rsidRPr="00431BA7">
        <w:rPr>
          <w:rFonts w:cstheme="minorHAnsi"/>
          <w:sz w:val="24"/>
          <w:szCs w:val="24"/>
        </w:rPr>
        <w:t xml:space="preserve">See </w:t>
      </w:r>
      <w:r w:rsidR="00605483" w:rsidRPr="00431BA7">
        <w:rPr>
          <w:rFonts w:cstheme="minorHAnsi"/>
          <w:i/>
          <w:iCs/>
          <w:sz w:val="24"/>
          <w:szCs w:val="24"/>
        </w:rPr>
        <w:t>Confidential Business Information Claims under the Toxic Substances Control Act (TSCA</w:t>
      </w:r>
      <w:proofErr w:type="gramStart"/>
      <w:r w:rsidR="00605483" w:rsidRPr="00431BA7">
        <w:rPr>
          <w:rFonts w:cstheme="minorHAnsi"/>
          <w:i/>
          <w:iCs/>
          <w:sz w:val="24"/>
          <w:szCs w:val="24"/>
        </w:rPr>
        <w:t>)</w:t>
      </w:r>
      <w:r w:rsidR="00605483" w:rsidRPr="00431BA7">
        <w:rPr>
          <w:rFonts w:cstheme="minorHAnsi"/>
          <w:sz w:val="24"/>
          <w:szCs w:val="24"/>
        </w:rPr>
        <w:t>;</w:t>
      </w:r>
      <w:proofErr w:type="gramEnd"/>
      <w:r w:rsidR="00605483" w:rsidRPr="00431BA7">
        <w:rPr>
          <w:rFonts w:cstheme="minorHAnsi"/>
          <w:sz w:val="24"/>
          <w:szCs w:val="24"/>
        </w:rPr>
        <w:t xml:space="preserve"> Proposed Rule.  87 FR. 29078, 29083 (May 12, 2022).  </w:t>
      </w:r>
      <w:r w:rsidR="00171F7D" w:rsidRPr="00431BA7">
        <w:rPr>
          <w:rFonts w:cstheme="minorHAnsi"/>
          <w:sz w:val="24"/>
          <w:szCs w:val="24"/>
        </w:rPr>
        <w:t xml:space="preserve">EPA </w:t>
      </w:r>
      <w:r w:rsidR="00C07ACB" w:rsidRPr="00431BA7">
        <w:rPr>
          <w:rFonts w:cstheme="minorHAnsi"/>
          <w:sz w:val="24"/>
          <w:szCs w:val="24"/>
        </w:rPr>
        <w:t>has concluded therefore</w:t>
      </w:r>
      <w:r w:rsidR="00171F7D" w:rsidRPr="00431BA7">
        <w:rPr>
          <w:rFonts w:cstheme="minorHAnsi"/>
          <w:sz w:val="24"/>
          <w:szCs w:val="24"/>
        </w:rPr>
        <w:t xml:space="preserve"> that a trade secrets-specific question is </w:t>
      </w:r>
      <w:r w:rsidR="00216F31" w:rsidRPr="00431BA7">
        <w:rPr>
          <w:rFonts w:cstheme="minorHAnsi"/>
          <w:sz w:val="24"/>
          <w:szCs w:val="24"/>
        </w:rPr>
        <w:t>redundant</w:t>
      </w:r>
      <w:r w:rsidR="00171F7D" w:rsidRPr="00431BA7">
        <w:rPr>
          <w:rFonts w:cstheme="minorHAnsi"/>
          <w:sz w:val="24"/>
          <w:szCs w:val="24"/>
        </w:rPr>
        <w:t xml:space="preserve"> and has omitted one from the final rule.</w:t>
      </w:r>
    </w:p>
    <w:p w14:paraId="0986AB80" w14:textId="0350FD0B" w:rsidR="00687929" w:rsidRPr="00431BA7" w:rsidRDefault="00687929" w:rsidP="00687929">
      <w:pPr>
        <w:rPr>
          <w:rFonts w:cstheme="minorHAnsi"/>
          <w:sz w:val="24"/>
          <w:szCs w:val="24"/>
        </w:rPr>
      </w:pPr>
      <w:r w:rsidRPr="00431BA7">
        <w:rPr>
          <w:rFonts w:cstheme="minorHAnsi"/>
          <w:b/>
          <w:bCs/>
          <w:sz w:val="24"/>
          <w:szCs w:val="24"/>
        </w:rPr>
        <w:t xml:space="preserve">Comment: </w:t>
      </w:r>
      <w:r w:rsidR="00255FE3" w:rsidRPr="00431BA7">
        <w:rPr>
          <w:rFonts w:cstheme="minorHAnsi"/>
          <w:sz w:val="24"/>
          <w:szCs w:val="24"/>
        </w:rPr>
        <w:t xml:space="preserve">One commenter expressed confusion at the intent of the question at </w:t>
      </w:r>
      <w:r w:rsidR="00387B6C" w:rsidRPr="00431BA7">
        <w:rPr>
          <w:rFonts w:cstheme="minorHAnsi"/>
          <w:sz w:val="24"/>
          <w:szCs w:val="24"/>
        </w:rPr>
        <w:t xml:space="preserve">40 CFR </w:t>
      </w:r>
      <w:r w:rsidR="00255FE3" w:rsidRPr="00431BA7">
        <w:rPr>
          <w:rFonts w:cstheme="minorHAnsi"/>
          <w:sz w:val="24"/>
          <w:szCs w:val="24"/>
        </w:rPr>
        <w:t xml:space="preserve">703.5(b)(4)(i), concerning the claimant’s understanding of whether the chemical substance is known publicly to be in commerce.  </w:t>
      </w:r>
    </w:p>
    <w:p w14:paraId="5B575BB9" w14:textId="0FBA46C3" w:rsidR="00806F54" w:rsidRPr="00431BA7" w:rsidRDefault="00806F54" w:rsidP="00687929">
      <w:pPr>
        <w:rPr>
          <w:rFonts w:cstheme="minorHAnsi"/>
          <w:sz w:val="24"/>
          <w:szCs w:val="24"/>
        </w:rPr>
      </w:pPr>
      <w:r w:rsidRPr="00431BA7">
        <w:rPr>
          <w:rFonts w:cstheme="minorHAnsi"/>
          <w:sz w:val="24"/>
          <w:szCs w:val="24"/>
        </w:rPr>
        <w:t>Source: -0050</w:t>
      </w:r>
    </w:p>
    <w:p w14:paraId="0E6E0EEA" w14:textId="16D98844" w:rsidR="00687929" w:rsidRPr="00431BA7" w:rsidRDefault="00060C02" w:rsidP="00687929">
      <w:pPr>
        <w:rPr>
          <w:rFonts w:cstheme="minorHAnsi"/>
          <w:sz w:val="24"/>
          <w:szCs w:val="24"/>
        </w:rPr>
      </w:pPr>
      <w:r w:rsidRPr="00431BA7">
        <w:rPr>
          <w:rFonts w:cstheme="minorHAnsi"/>
          <w:b/>
          <w:bCs/>
          <w:sz w:val="24"/>
          <w:szCs w:val="24"/>
        </w:rPr>
        <w:t>Response</w:t>
      </w:r>
      <w:r w:rsidR="00687929" w:rsidRPr="00431BA7">
        <w:rPr>
          <w:rFonts w:cstheme="minorHAnsi"/>
          <w:b/>
          <w:bCs/>
          <w:sz w:val="24"/>
          <w:szCs w:val="24"/>
        </w:rPr>
        <w:t xml:space="preserve">:  </w:t>
      </w:r>
      <w:r w:rsidR="00387B6C" w:rsidRPr="00431BA7">
        <w:rPr>
          <w:rFonts w:cstheme="minorHAnsi"/>
          <w:sz w:val="24"/>
          <w:szCs w:val="24"/>
        </w:rPr>
        <w:t>40 CFR</w:t>
      </w:r>
      <w:r w:rsidR="009675C4" w:rsidRPr="00431BA7">
        <w:rPr>
          <w:rFonts w:cstheme="minorHAnsi"/>
          <w:sz w:val="24"/>
          <w:szCs w:val="24"/>
        </w:rPr>
        <w:t xml:space="preserve"> </w:t>
      </w:r>
      <w:r w:rsidR="007C4E49" w:rsidRPr="00431BA7">
        <w:rPr>
          <w:rFonts w:cstheme="minorHAnsi"/>
          <w:sz w:val="24"/>
          <w:szCs w:val="24"/>
        </w:rPr>
        <w:t xml:space="preserve">703.5(b)(4)(i) applies to chemical identity claims and asks: “Is this chemical substance publicly known (including by your competitors) to be in U.S. commerce?”  The intent of the question is to help ascertain whether it is known to the public (be they competitors or the public at large) that this </w:t>
      </w:r>
      <w:proofErr w:type="gramStart"/>
      <w:r w:rsidR="007C4E49" w:rsidRPr="00431BA7">
        <w:rPr>
          <w:rFonts w:cstheme="minorHAnsi"/>
          <w:sz w:val="24"/>
          <w:szCs w:val="24"/>
        </w:rPr>
        <w:t>particular substance</w:t>
      </w:r>
      <w:proofErr w:type="gramEnd"/>
      <w:r w:rsidR="007C4E49" w:rsidRPr="00431BA7">
        <w:rPr>
          <w:rFonts w:cstheme="minorHAnsi"/>
          <w:sz w:val="24"/>
          <w:szCs w:val="24"/>
        </w:rPr>
        <w:t xml:space="preserve"> is available in U</w:t>
      </w:r>
      <w:r w:rsidR="005821F4" w:rsidRPr="00431BA7">
        <w:rPr>
          <w:rFonts w:cstheme="minorHAnsi"/>
          <w:sz w:val="24"/>
          <w:szCs w:val="24"/>
        </w:rPr>
        <w:t>.</w:t>
      </w:r>
      <w:r w:rsidR="007C4E49" w:rsidRPr="00431BA7">
        <w:rPr>
          <w:rFonts w:cstheme="minorHAnsi"/>
          <w:sz w:val="24"/>
          <w:szCs w:val="24"/>
        </w:rPr>
        <w:t>S</w:t>
      </w:r>
      <w:r w:rsidR="005821F4" w:rsidRPr="00431BA7">
        <w:rPr>
          <w:rFonts w:cstheme="minorHAnsi"/>
          <w:sz w:val="24"/>
          <w:szCs w:val="24"/>
        </w:rPr>
        <w:t>.</w:t>
      </w:r>
      <w:r w:rsidR="007C4E49" w:rsidRPr="00431BA7">
        <w:rPr>
          <w:rFonts w:cstheme="minorHAnsi"/>
          <w:sz w:val="24"/>
          <w:szCs w:val="24"/>
        </w:rPr>
        <w:t xml:space="preserve"> commerce.  If it is known either to competitors or the public at large that a given substance is in U</w:t>
      </w:r>
      <w:r w:rsidR="005821F4" w:rsidRPr="00431BA7">
        <w:rPr>
          <w:rFonts w:cstheme="minorHAnsi"/>
          <w:sz w:val="24"/>
          <w:szCs w:val="24"/>
        </w:rPr>
        <w:t>.</w:t>
      </w:r>
      <w:r w:rsidR="007C4E49" w:rsidRPr="00431BA7">
        <w:rPr>
          <w:rFonts w:cstheme="minorHAnsi"/>
          <w:sz w:val="24"/>
          <w:szCs w:val="24"/>
        </w:rPr>
        <w:t>S</w:t>
      </w:r>
      <w:r w:rsidR="005821F4" w:rsidRPr="00431BA7">
        <w:rPr>
          <w:rFonts w:cstheme="minorHAnsi"/>
          <w:sz w:val="24"/>
          <w:szCs w:val="24"/>
        </w:rPr>
        <w:t>.</w:t>
      </w:r>
      <w:r w:rsidR="007C4E49" w:rsidRPr="00431BA7">
        <w:rPr>
          <w:rFonts w:cstheme="minorHAnsi"/>
          <w:sz w:val="24"/>
          <w:szCs w:val="24"/>
        </w:rPr>
        <w:t xml:space="preserve"> commerce, the substance is likely no longer entitled to confidential Inventory protection and the </w:t>
      </w:r>
      <w:proofErr w:type="gramStart"/>
      <w:r w:rsidR="007C4E49" w:rsidRPr="00431BA7">
        <w:rPr>
          <w:rFonts w:cstheme="minorHAnsi"/>
          <w:sz w:val="24"/>
          <w:szCs w:val="24"/>
        </w:rPr>
        <w:t>particular claim</w:t>
      </w:r>
      <w:proofErr w:type="gramEnd"/>
      <w:r w:rsidR="007C4E49" w:rsidRPr="00431BA7">
        <w:rPr>
          <w:rFonts w:cstheme="minorHAnsi"/>
          <w:sz w:val="24"/>
          <w:szCs w:val="24"/>
        </w:rPr>
        <w:t xml:space="preserve"> will very likely be denied.  The question does not have any relationship to determining whether the substantiation exemption at </w:t>
      </w:r>
      <w:r w:rsidR="00387B6C" w:rsidRPr="00431BA7">
        <w:rPr>
          <w:rFonts w:cstheme="minorHAnsi"/>
          <w:sz w:val="24"/>
          <w:szCs w:val="24"/>
        </w:rPr>
        <w:t xml:space="preserve">TSCA </w:t>
      </w:r>
      <w:r w:rsidR="007C4E49" w:rsidRPr="00431BA7">
        <w:rPr>
          <w:rFonts w:cstheme="minorHAnsi"/>
          <w:sz w:val="24"/>
          <w:szCs w:val="24"/>
        </w:rPr>
        <w:t>section 14(c)(2)(G) applies</w:t>
      </w:r>
      <w:r w:rsidR="00894BC5" w:rsidRPr="00431BA7">
        <w:rPr>
          <w:rFonts w:cstheme="minorHAnsi"/>
          <w:sz w:val="24"/>
          <w:szCs w:val="24"/>
        </w:rPr>
        <w:t xml:space="preserve">—if a claimant is answering this question at all, it is because they themselves do not believe the </w:t>
      </w:r>
      <w:r w:rsidR="00387B6C" w:rsidRPr="00431BA7">
        <w:rPr>
          <w:rFonts w:cstheme="minorHAnsi"/>
          <w:sz w:val="24"/>
          <w:szCs w:val="24"/>
        </w:rPr>
        <w:t xml:space="preserve">section </w:t>
      </w:r>
      <w:r w:rsidR="00894BC5" w:rsidRPr="00431BA7">
        <w:rPr>
          <w:rFonts w:cstheme="minorHAnsi"/>
          <w:sz w:val="24"/>
          <w:szCs w:val="24"/>
        </w:rPr>
        <w:t>14(c)(2)(G) exemption applicable in their case.</w:t>
      </w:r>
    </w:p>
    <w:p w14:paraId="0139CBB8" w14:textId="57A5A738" w:rsidR="009675C4" w:rsidRPr="00431BA7" w:rsidRDefault="009675C4" w:rsidP="009675C4">
      <w:pPr>
        <w:rPr>
          <w:rFonts w:cstheme="minorHAnsi"/>
          <w:sz w:val="24"/>
          <w:szCs w:val="24"/>
        </w:rPr>
      </w:pPr>
      <w:r w:rsidRPr="00431BA7">
        <w:rPr>
          <w:rFonts w:cstheme="minorHAnsi"/>
          <w:b/>
          <w:bCs/>
          <w:sz w:val="24"/>
          <w:szCs w:val="24"/>
        </w:rPr>
        <w:t xml:space="preserve">Comment: </w:t>
      </w:r>
      <w:r w:rsidRPr="00431BA7">
        <w:rPr>
          <w:rFonts w:cstheme="minorHAnsi"/>
          <w:sz w:val="24"/>
          <w:szCs w:val="24"/>
        </w:rPr>
        <w:t>One commenter asserted that known presence in overseas markets (e.g., the E</w:t>
      </w:r>
      <w:r w:rsidR="00387B6C" w:rsidRPr="00431BA7">
        <w:rPr>
          <w:rFonts w:cstheme="minorHAnsi"/>
          <w:sz w:val="24"/>
          <w:szCs w:val="24"/>
        </w:rPr>
        <w:t xml:space="preserve">uropean </w:t>
      </w:r>
      <w:r w:rsidRPr="00431BA7">
        <w:rPr>
          <w:rFonts w:cstheme="minorHAnsi"/>
          <w:sz w:val="24"/>
          <w:szCs w:val="24"/>
        </w:rPr>
        <w:t>U</w:t>
      </w:r>
      <w:r w:rsidR="00387B6C" w:rsidRPr="00431BA7">
        <w:rPr>
          <w:rFonts w:cstheme="minorHAnsi"/>
          <w:sz w:val="24"/>
          <w:szCs w:val="24"/>
        </w:rPr>
        <w:t>nion</w:t>
      </w:r>
      <w:r w:rsidRPr="00431BA7">
        <w:rPr>
          <w:rFonts w:cstheme="minorHAnsi"/>
          <w:sz w:val="24"/>
          <w:szCs w:val="24"/>
        </w:rPr>
        <w:t>) renders CBI claims for the same substance identity in the U</w:t>
      </w:r>
      <w:r w:rsidR="00387B6C" w:rsidRPr="00431BA7">
        <w:rPr>
          <w:rFonts w:cstheme="minorHAnsi"/>
          <w:sz w:val="24"/>
          <w:szCs w:val="24"/>
        </w:rPr>
        <w:t>.</w:t>
      </w:r>
      <w:r w:rsidRPr="00431BA7">
        <w:rPr>
          <w:rFonts w:cstheme="minorHAnsi"/>
          <w:sz w:val="24"/>
          <w:szCs w:val="24"/>
        </w:rPr>
        <w:t>S</w:t>
      </w:r>
      <w:r w:rsidR="00387B6C" w:rsidRPr="00431BA7">
        <w:rPr>
          <w:rFonts w:cstheme="minorHAnsi"/>
          <w:sz w:val="24"/>
          <w:szCs w:val="24"/>
        </w:rPr>
        <w:t>.</w:t>
      </w:r>
      <w:r w:rsidRPr="00431BA7">
        <w:rPr>
          <w:rFonts w:cstheme="minorHAnsi"/>
          <w:sz w:val="24"/>
          <w:szCs w:val="24"/>
        </w:rPr>
        <w:t xml:space="preserve"> invalid.  </w:t>
      </w:r>
    </w:p>
    <w:p w14:paraId="21491176" w14:textId="77777777" w:rsidR="009675C4" w:rsidRPr="00431BA7" w:rsidRDefault="009675C4" w:rsidP="009675C4">
      <w:pPr>
        <w:rPr>
          <w:rFonts w:cstheme="minorHAnsi"/>
          <w:sz w:val="24"/>
          <w:szCs w:val="24"/>
        </w:rPr>
      </w:pPr>
      <w:r w:rsidRPr="00431BA7">
        <w:rPr>
          <w:rFonts w:cstheme="minorHAnsi"/>
          <w:sz w:val="24"/>
          <w:szCs w:val="24"/>
        </w:rPr>
        <w:t>Source: -0050</w:t>
      </w:r>
    </w:p>
    <w:p w14:paraId="68EE9FFA" w14:textId="673BE047" w:rsidR="00894BC5" w:rsidRPr="00431BA7" w:rsidRDefault="009675C4" w:rsidP="00687929">
      <w:pPr>
        <w:rPr>
          <w:sz w:val="24"/>
          <w:szCs w:val="24"/>
        </w:rPr>
      </w:pPr>
      <w:r w:rsidRPr="00431BA7">
        <w:rPr>
          <w:b/>
          <w:sz w:val="24"/>
          <w:szCs w:val="24"/>
        </w:rPr>
        <w:lastRenderedPageBreak/>
        <w:t xml:space="preserve">Response:  </w:t>
      </w:r>
      <w:r w:rsidR="00715D69" w:rsidRPr="00431BA7">
        <w:rPr>
          <w:sz w:val="24"/>
          <w:szCs w:val="24"/>
        </w:rPr>
        <w:t>EPA does not agree</w:t>
      </w:r>
      <w:r w:rsidR="00894BC5" w:rsidRPr="00431BA7">
        <w:rPr>
          <w:sz w:val="24"/>
          <w:szCs w:val="24"/>
        </w:rPr>
        <w:t xml:space="preserve"> that known presence in overseas markets disqualifies that chemical identity from confidential treatment in the U</w:t>
      </w:r>
      <w:r w:rsidR="00A7197B" w:rsidRPr="00431BA7">
        <w:rPr>
          <w:sz w:val="24"/>
          <w:szCs w:val="24"/>
        </w:rPr>
        <w:t>.</w:t>
      </w:r>
      <w:r w:rsidR="00894BC5" w:rsidRPr="00431BA7">
        <w:rPr>
          <w:sz w:val="24"/>
          <w:szCs w:val="24"/>
        </w:rPr>
        <w:t>S</w:t>
      </w:r>
      <w:r w:rsidR="00A7197B" w:rsidRPr="00431BA7">
        <w:rPr>
          <w:sz w:val="24"/>
          <w:szCs w:val="24"/>
        </w:rPr>
        <w:t>.</w:t>
      </w:r>
      <w:r w:rsidR="00894BC5" w:rsidRPr="00431BA7">
        <w:rPr>
          <w:sz w:val="24"/>
          <w:szCs w:val="24"/>
        </w:rPr>
        <w:t xml:space="preserve">  </w:t>
      </w:r>
      <w:r w:rsidR="00DA3A1E" w:rsidRPr="00431BA7">
        <w:rPr>
          <w:sz w:val="24"/>
          <w:szCs w:val="24"/>
        </w:rPr>
        <w:t xml:space="preserve">  </w:t>
      </w:r>
      <w:r w:rsidR="001D38E8" w:rsidRPr="00431BA7">
        <w:rPr>
          <w:sz w:val="24"/>
          <w:szCs w:val="24"/>
        </w:rPr>
        <w:t>Section</w:t>
      </w:r>
      <w:r w:rsidR="00DA3A1E" w:rsidRPr="00431BA7">
        <w:rPr>
          <w:sz w:val="24"/>
          <w:szCs w:val="24"/>
        </w:rPr>
        <w:t xml:space="preserve"> 3(3) of TSCA defines “commerce” as “trade, traffic, transportation, or other commerce (A) between a place in a State and any place outside of such State, or (B) which affects trade, traffic, transportation, or commerce described in clause (A).</w:t>
      </w:r>
      <w:r w:rsidR="00A7540C" w:rsidRPr="00431BA7">
        <w:rPr>
          <w:sz w:val="24"/>
          <w:szCs w:val="24"/>
        </w:rPr>
        <w:t>”</w:t>
      </w:r>
      <w:r w:rsidR="00DA3A1E" w:rsidRPr="00431BA7">
        <w:rPr>
          <w:sz w:val="24"/>
          <w:szCs w:val="24"/>
        </w:rPr>
        <w:t xml:space="preserve">  “State” in turn, means any of the 50 states, the District of Columbia and U</w:t>
      </w:r>
      <w:r w:rsidR="00A7197B" w:rsidRPr="00431BA7">
        <w:rPr>
          <w:sz w:val="24"/>
          <w:szCs w:val="24"/>
        </w:rPr>
        <w:t>.</w:t>
      </w:r>
      <w:r w:rsidR="00DA3A1E" w:rsidRPr="00431BA7">
        <w:rPr>
          <w:sz w:val="24"/>
          <w:szCs w:val="24"/>
        </w:rPr>
        <w:t>S</w:t>
      </w:r>
      <w:r w:rsidR="00A7197B" w:rsidRPr="00431BA7">
        <w:rPr>
          <w:sz w:val="24"/>
          <w:szCs w:val="24"/>
        </w:rPr>
        <w:t>.</w:t>
      </w:r>
      <w:r w:rsidR="00DA3A1E" w:rsidRPr="00431BA7">
        <w:rPr>
          <w:sz w:val="24"/>
          <w:szCs w:val="24"/>
        </w:rPr>
        <w:t xml:space="preserve"> territories and possessions.  </w:t>
      </w:r>
      <w:r w:rsidR="00A7540C" w:rsidRPr="00431BA7">
        <w:rPr>
          <w:sz w:val="24"/>
          <w:szCs w:val="24"/>
        </w:rPr>
        <w:t xml:space="preserve">Thus, where TSCA refers to </w:t>
      </w:r>
      <w:r w:rsidR="00725370" w:rsidRPr="00431BA7">
        <w:rPr>
          <w:sz w:val="24"/>
          <w:szCs w:val="24"/>
        </w:rPr>
        <w:t>“offered for commercial distribution”</w:t>
      </w:r>
      <w:r w:rsidR="00A7540C" w:rsidRPr="00431BA7">
        <w:rPr>
          <w:sz w:val="24"/>
          <w:szCs w:val="24"/>
        </w:rPr>
        <w:t xml:space="preserve"> </w:t>
      </w:r>
      <w:r w:rsidR="00A64742" w:rsidRPr="00431BA7">
        <w:rPr>
          <w:sz w:val="24"/>
          <w:szCs w:val="24"/>
        </w:rPr>
        <w:t>(e.g., TSCA section</w:t>
      </w:r>
      <w:r w:rsidR="008666E8" w:rsidRPr="00431BA7">
        <w:rPr>
          <w:sz w:val="24"/>
          <w:szCs w:val="24"/>
        </w:rPr>
        <w:t xml:space="preserve"> </w:t>
      </w:r>
      <w:r w:rsidR="00A64742" w:rsidRPr="00431BA7">
        <w:rPr>
          <w:sz w:val="24"/>
          <w:szCs w:val="24"/>
        </w:rPr>
        <w:t>14(c)(2)(G))</w:t>
      </w:r>
      <w:r w:rsidR="008666E8" w:rsidRPr="00431BA7">
        <w:rPr>
          <w:sz w:val="24"/>
          <w:szCs w:val="24"/>
        </w:rPr>
        <w:t>,</w:t>
      </w:r>
      <w:r w:rsidR="00A64742" w:rsidRPr="00431BA7">
        <w:rPr>
          <w:sz w:val="24"/>
          <w:szCs w:val="24"/>
        </w:rPr>
        <w:t xml:space="preserve"> </w:t>
      </w:r>
      <w:r w:rsidR="00A7540C" w:rsidRPr="00431BA7">
        <w:rPr>
          <w:sz w:val="24"/>
          <w:szCs w:val="24"/>
        </w:rPr>
        <w:t>it is referring to</w:t>
      </w:r>
      <w:r w:rsidR="00A64742" w:rsidRPr="00431BA7">
        <w:rPr>
          <w:sz w:val="24"/>
          <w:szCs w:val="24"/>
        </w:rPr>
        <w:t xml:space="preserve"> distribution in</w:t>
      </w:r>
      <w:r w:rsidR="00A7540C" w:rsidRPr="00431BA7">
        <w:rPr>
          <w:sz w:val="24"/>
          <w:szCs w:val="24"/>
        </w:rPr>
        <w:t xml:space="preserve"> </w:t>
      </w:r>
      <w:r w:rsidR="00A7540C" w:rsidRPr="00431BA7">
        <w:rPr>
          <w:i/>
          <w:sz w:val="24"/>
          <w:szCs w:val="24"/>
        </w:rPr>
        <w:t>U</w:t>
      </w:r>
      <w:r w:rsidR="00A7197B" w:rsidRPr="00431BA7">
        <w:rPr>
          <w:i/>
          <w:sz w:val="24"/>
          <w:szCs w:val="24"/>
        </w:rPr>
        <w:t>.</w:t>
      </w:r>
      <w:r w:rsidR="00A7540C" w:rsidRPr="00431BA7">
        <w:rPr>
          <w:i/>
          <w:sz w:val="24"/>
          <w:szCs w:val="24"/>
        </w:rPr>
        <w:t>S</w:t>
      </w:r>
      <w:r w:rsidR="00A7197B" w:rsidRPr="00431BA7">
        <w:rPr>
          <w:i/>
          <w:sz w:val="24"/>
          <w:szCs w:val="24"/>
        </w:rPr>
        <w:t>.</w:t>
      </w:r>
      <w:r w:rsidR="00A7540C" w:rsidRPr="00431BA7">
        <w:rPr>
          <w:sz w:val="24"/>
          <w:szCs w:val="24"/>
        </w:rPr>
        <w:t xml:space="preserve"> commerce.  While the fact that a chemical is distributed in overseas commerce may </w:t>
      </w:r>
      <w:r w:rsidR="00553A1B" w:rsidRPr="00431BA7">
        <w:rPr>
          <w:sz w:val="24"/>
          <w:szCs w:val="24"/>
        </w:rPr>
        <w:t xml:space="preserve">increase the </w:t>
      </w:r>
      <w:r w:rsidR="00226B67" w:rsidRPr="00431BA7">
        <w:rPr>
          <w:sz w:val="24"/>
          <w:szCs w:val="24"/>
        </w:rPr>
        <w:t>likelihood</w:t>
      </w:r>
      <w:r w:rsidR="00DF1B4E" w:rsidRPr="00431BA7">
        <w:rPr>
          <w:sz w:val="24"/>
          <w:szCs w:val="24"/>
        </w:rPr>
        <w:t xml:space="preserve"> that the substance </w:t>
      </w:r>
      <w:r w:rsidR="00037FDE" w:rsidRPr="00431BA7">
        <w:rPr>
          <w:sz w:val="24"/>
          <w:szCs w:val="24"/>
        </w:rPr>
        <w:t>is</w:t>
      </w:r>
      <w:r w:rsidR="00DF1B4E" w:rsidRPr="00431BA7">
        <w:rPr>
          <w:sz w:val="24"/>
          <w:szCs w:val="24"/>
        </w:rPr>
        <w:t xml:space="preserve"> </w:t>
      </w:r>
      <w:r w:rsidR="00037FDE" w:rsidRPr="00431BA7">
        <w:rPr>
          <w:sz w:val="24"/>
          <w:szCs w:val="24"/>
        </w:rPr>
        <w:t>also</w:t>
      </w:r>
      <w:r w:rsidR="00A7540C" w:rsidRPr="00431BA7">
        <w:rPr>
          <w:sz w:val="24"/>
          <w:szCs w:val="24"/>
        </w:rPr>
        <w:t xml:space="preserve"> distributed in U</w:t>
      </w:r>
      <w:r w:rsidR="00A7197B" w:rsidRPr="00431BA7">
        <w:rPr>
          <w:sz w:val="24"/>
          <w:szCs w:val="24"/>
        </w:rPr>
        <w:t>.</w:t>
      </w:r>
      <w:r w:rsidR="00A7540C" w:rsidRPr="00431BA7">
        <w:rPr>
          <w:sz w:val="24"/>
          <w:szCs w:val="24"/>
        </w:rPr>
        <w:t>S</w:t>
      </w:r>
      <w:r w:rsidR="00A7197B" w:rsidRPr="00431BA7">
        <w:rPr>
          <w:sz w:val="24"/>
          <w:szCs w:val="24"/>
        </w:rPr>
        <w:t>.</w:t>
      </w:r>
      <w:r w:rsidR="00A7540C" w:rsidRPr="00431BA7">
        <w:rPr>
          <w:sz w:val="24"/>
          <w:szCs w:val="24"/>
        </w:rPr>
        <w:t xml:space="preserve"> commerce</w:t>
      </w:r>
      <w:r w:rsidR="006F58FB" w:rsidRPr="00431BA7">
        <w:rPr>
          <w:sz w:val="24"/>
          <w:szCs w:val="24"/>
        </w:rPr>
        <w:t>, it does not guarantee</w:t>
      </w:r>
      <w:r w:rsidR="00FE058F" w:rsidRPr="00431BA7">
        <w:rPr>
          <w:sz w:val="24"/>
          <w:szCs w:val="24"/>
        </w:rPr>
        <w:t xml:space="preserve"> such a result</w:t>
      </w:r>
      <w:r w:rsidR="00A7540C" w:rsidRPr="00431BA7">
        <w:rPr>
          <w:sz w:val="24"/>
          <w:szCs w:val="24"/>
        </w:rPr>
        <w:t>.</w:t>
      </w:r>
      <w:r w:rsidR="001D38E8" w:rsidRPr="00431BA7">
        <w:rPr>
          <w:sz w:val="24"/>
          <w:szCs w:val="24"/>
        </w:rPr>
        <w:t xml:space="preserve">  </w:t>
      </w:r>
      <w:r w:rsidR="0090350A" w:rsidRPr="00431BA7">
        <w:rPr>
          <w:sz w:val="24"/>
          <w:szCs w:val="24"/>
        </w:rPr>
        <w:t xml:space="preserve">If a submitter </w:t>
      </w:r>
      <w:r w:rsidR="008432AD" w:rsidRPr="00431BA7">
        <w:rPr>
          <w:sz w:val="24"/>
          <w:szCs w:val="24"/>
        </w:rPr>
        <w:t>claiming a chemical identity as</w:t>
      </w:r>
      <w:r w:rsidR="0090350A" w:rsidRPr="00431BA7">
        <w:rPr>
          <w:sz w:val="24"/>
          <w:szCs w:val="24"/>
        </w:rPr>
        <w:t xml:space="preserve"> CBI </w:t>
      </w:r>
      <w:r w:rsidR="00166EC1" w:rsidRPr="00431BA7">
        <w:rPr>
          <w:sz w:val="24"/>
          <w:szCs w:val="24"/>
        </w:rPr>
        <w:t>is aware that</w:t>
      </w:r>
      <w:r w:rsidR="009978F1" w:rsidRPr="00431BA7">
        <w:rPr>
          <w:sz w:val="24"/>
          <w:szCs w:val="24"/>
        </w:rPr>
        <w:t xml:space="preserve"> </w:t>
      </w:r>
      <w:r w:rsidR="00C31073" w:rsidRPr="00431BA7">
        <w:rPr>
          <w:sz w:val="24"/>
          <w:szCs w:val="24"/>
        </w:rPr>
        <w:t xml:space="preserve">its </w:t>
      </w:r>
      <w:r w:rsidR="009978F1" w:rsidRPr="00431BA7">
        <w:rPr>
          <w:sz w:val="24"/>
          <w:szCs w:val="24"/>
        </w:rPr>
        <w:t xml:space="preserve">distribution </w:t>
      </w:r>
      <w:r w:rsidR="00BE4EFF" w:rsidRPr="00431BA7">
        <w:rPr>
          <w:sz w:val="24"/>
          <w:szCs w:val="24"/>
        </w:rPr>
        <w:t>in commerce outside the U.S. is publicly k</w:t>
      </w:r>
      <w:r w:rsidR="00C31073" w:rsidRPr="00431BA7">
        <w:rPr>
          <w:sz w:val="24"/>
          <w:szCs w:val="24"/>
        </w:rPr>
        <w:t>nown</w:t>
      </w:r>
      <w:r w:rsidR="0090350A" w:rsidRPr="00431BA7">
        <w:rPr>
          <w:sz w:val="24"/>
          <w:szCs w:val="24"/>
        </w:rPr>
        <w:t xml:space="preserve">, their substantiation should explain why </w:t>
      </w:r>
      <w:r w:rsidR="00D64BF6" w:rsidRPr="00431BA7">
        <w:rPr>
          <w:sz w:val="24"/>
          <w:szCs w:val="24"/>
        </w:rPr>
        <w:t>distribution in</w:t>
      </w:r>
      <w:r w:rsidR="0090350A" w:rsidRPr="00431BA7">
        <w:rPr>
          <w:sz w:val="24"/>
          <w:szCs w:val="24"/>
        </w:rPr>
        <w:t xml:space="preserve"> U.S.</w:t>
      </w:r>
      <w:r w:rsidR="00D64BF6" w:rsidRPr="00431BA7">
        <w:rPr>
          <w:sz w:val="24"/>
          <w:szCs w:val="24"/>
        </w:rPr>
        <w:t xml:space="preserve"> commerce remains unknown.</w:t>
      </w:r>
      <w:r w:rsidR="0090350A" w:rsidRPr="00431BA7">
        <w:rPr>
          <w:sz w:val="24"/>
          <w:szCs w:val="24"/>
        </w:rPr>
        <w:t xml:space="preserve"> </w:t>
      </w:r>
      <w:r w:rsidR="001D38E8" w:rsidRPr="00431BA7">
        <w:rPr>
          <w:sz w:val="24"/>
          <w:szCs w:val="24"/>
        </w:rPr>
        <w:t>The</w:t>
      </w:r>
      <w:r w:rsidR="0090350A" w:rsidRPr="00431BA7">
        <w:rPr>
          <w:sz w:val="24"/>
          <w:szCs w:val="24"/>
        </w:rPr>
        <w:t xml:space="preserve"> Agency’s</w:t>
      </w:r>
      <w:r w:rsidR="001D38E8" w:rsidRPr="00431BA7">
        <w:rPr>
          <w:sz w:val="24"/>
          <w:szCs w:val="24"/>
        </w:rPr>
        <w:t xml:space="preserve"> inquiry into public knowledge of distribution</w:t>
      </w:r>
      <w:r w:rsidR="0090350A" w:rsidRPr="00431BA7">
        <w:rPr>
          <w:sz w:val="24"/>
          <w:szCs w:val="24"/>
        </w:rPr>
        <w:t xml:space="preserve"> of a chemical substance</w:t>
      </w:r>
      <w:r w:rsidR="001D38E8" w:rsidRPr="00431BA7">
        <w:rPr>
          <w:sz w:val="24"/>
          <w:szCs w:val="24"/>
        </w:rPr>
        <w:t xml:space="preserve"> in </w:t>
      </w:r>
      <w:r w:rsidR="001D38E8" w:rsidRPr="00431BA7">
        <w:rPr>
          <w:i/>
          <w:sz w:val="24"/>
          <w:szCs w:val="24"/>
        </w:rPr>
        <w:t>U</w:t>
      </w:r>
      <w:r w:rsidR="00A7197B" w:rsidRPr="00431BA7">
        <w:rPr>
          <w:i/>
          <w:sz w:val="24"/>
          <w:szCs w:val="24"/>
        </w:rPr>
        <w:t>.</w:t>
      </w:r>
      <w:r w:rsidR="001D38E8" w:rsidRPr="00431BA7">
        <w:rPr>
          <w:i/>
          <w:sz w:val="24"/>
          <w:szCs w:val="24"/>
        </w:rPr>
        <w:t>S</w:t>
      </w:r>
      <w:r w:rsidR="00A7197B" w:rsidRPr="00431BA7">
        <w:rPr>
          <w:i/>
          <w:sz w:val="24"/>
          <w:szCs w:val="24"/>
        </w:rPr>
        <w:t>.</w:t>
      </w:r>
      <w:r w:rsidR="001D38E8" w:rsidRPr="00431BA7">
        <w:rPr>
          <w:sz w:val="24"/>
          <w:szCs w:val="24"/>
        </w:rPr>
        <w:t xml:space="preserve"> commerce specifically is also closely tied to the TSCA Inventory</w:t>
      </w:r>
      <w:r w:rsidR="00EC0BEC" w:rsidRPr="00431BA7">
        <w:rPr>
          <w:sz w:val="24"/>
          <w:szCs w:val="24"/>
        </w:rPr>
        <w:t xml:space="preserve"> and confidential Inventory protections</w:t>
      </w:r>
      <w:r w:rsidR="001D38E8" w:rsidRPr="00431BA7">
        <w:rPr>
          <w:sz w:val="24"/>
          <w:szCs w:val="24"/>
        </w:rPr>
        <w:t xml:space="preserve">.  The Inventory is a partial compilation of substances in </w:t>
      </w:r>
      <w:r w:rsidR="001D38E8" w:rsidRPr="00431BA7">
        <w:rPr>
          <w:i/>
          <w:sz w:val="24"/>
          <w:szCs w:val="24"/>
        </w:rPr>
        <w:t>U</w:t>
      </w:r>
      <w:r w:rsidR="004331B8" w:rsidRPr="00431BA7">
        <w:rPr>
          <w:i/>
          <w:sz w:val="24"/>
          <w:szCs w:val="24"/>
        </w:rPr>
        <w:t>.</w:t>
      </w:r>
      <w:r w:rsidR="001D38E8" w:rsidRPr="00431BA7">
        <w:rPr>
          <w:i/>
          <w:sz w:val="24"/>
          <w:szCs w:val="24"/>
        </w:rPr>
        <w:t>S</w:t>
      </w:r>
      <w:r w:rsidR="004331B8" w:rsidRPr="00431BA7">
        <w:rPr>
          <w:i/>
          <w:sz w:val="24"/>
          <w:szCs w:val="24"/>
        </w:rPr>
        <w:t>.</w:t>
      </w:r>
      <w:r w:rsidR="001D38E8" w:rsidRPr="00431BA7">
        <w:rPr>
          <w:sz w:val="24"/>
          <w:szCs w:val="24"/>
        </w:rPr>
        <w:t xml:space="preserve"> commerce—it’s not a list of all substances known to exist anywhere.  </w:t>
      </w:r>
      <w:r w:rsidR="0090350A" w:rsidRPr="00431BA7">
        <w:rPr>
          <w:sz w:val="24"/>
          <w:szCs w:val="24"/>
        </w:rPr>
        <w:t>If properly substantiated, s</w:t>
      </w:r>
      <w:r w:rsidR="001D38E8" w:rsidRPr="00431BA7">
        <w:rPr>
          <w:sz w:val="24"/>
          <w:szCs w:val="24"/>
        </w:rPr>
        <w:t>ubstances on this Inventory of substances in U</w:t>
      </w:r>
      <w:r w:rsidR="004331B8" w:rsidRPr="00431BA7">
        <w:rPr>
          <w:sz w:val="24"/>
          <w:szCs w:val="24"/>
        </w:rPr>
        <w:t>.</w:t>
      </w:r>
      <w:r w:rsidR="001D38E8" w:rsidRPr="00431BA7">
        <w:rPr>
          <w:sz w:val="24"/>
          <w:szCs w:val="24"/>
        </w:rPr>
        <w:t>S</w:t>
      </w:r>
      <w:r w:rsidR="004331B8" w:rsidRPr="00431BA7">
        <w:rPr>
          <w:sz w:val="24"/>
          <w:szCs w:val="24"/>
        </w:rPr>
        <w:t>.</w:t>
      </w:r>
      <w:r w:rsidR="001D38E8" w:rsidRPr="00431BA7">
        <w:rPr>
          <w:sz w:val="24"/>
          <w:szCs w:val="24"/>
        </w:rPr>
        <w:t xml:space="preserve"> commerce may be afforded confidential Inventory treatment if it is a secret that they are distributed in </w:t>
      </w:r>
      <w:r w:rsidR="001D38E8" w:rsidRPr="00431BA7">
        <w:rPr>
          <w:i/>
          <w:sz w:val="24"/>
          <w:szCs w:val="24"/>
        </w:rPr>
        <w:t>U</w:t>
      </w:r>
      <w:r w:rsidR="004331B8" w:rsidRPr="00431BA7">
        <w:rPr>
          <w:i/>
          <w:sz w:val="24"/>
          <w:szCs w:val="24"/>
        </w:rPr>
        <w:t>.</w:t>
      </w:r>
      <w:r w:rsidR="001D38E8" w:rsidRPr="00431BA7">
        <w:rPr>
          <w:i/>
          <w:sz w:val="24"/>
          <w:szCs w:val="24"/>
        </w:rPr>
        <w:t>S</w:t>
      </w:r>
      <w:r w:rsidR="004331B8" w:rsidRPr="00431BA7">
        <w:rPr>
          <w:i/>
          <w:sz w:val="24"/>
          <w:szCs w:val="24"/>
        </w:rPr>
        <w:t>.</w:t>
      </w:r>
      <w:r w:rsidR="001D38E8" w:rsidRPr="00431BA7">
        <w:rPr>
          <w:sz w:val="24"/>
          <w:szCs w:val="24"/>
        </w:rPr>
        <w:t xml:space="preserve"> commerce</w:t>
      </w:r>
      <w:r w:rsidR="0090350A" w:rsidRPr="00431BA7">
        <w:rPr>
          <w:sz w:val="24"/>
          <w:szCs w:val="24"/>
        </w:rPr>
        <w:t xml:space="preserve"> and EPA has not identified any reason to believe otherwise</w:t>
      </w:r>
      <w:r w:rsidR="001D38E8" w:rsidRPr="00431BA7">
        <w:rPr>
          <w:sz w:val="24"/>
          <w:szCs w:val="24"/>
        </w:rPr>
        <w:t xml:space="preserve">.  </w:t>
      </w:r>
    </w:p>
    <w:p w14:paraId="389A58C9" w14:textId="650A7701" w:rsidR="00FD7CD7" w:rsidRPr="00431BA7" w:rsidRDefault="00FD7CD7" w:rsidP="00FD7CD7">
      <w:pPr>
        <w:rPr>
          <w:rFonts w:cstheme="minorHAnsi"/>
          <w:sz w:val="24"/>
          <w:szCs w:val="24"/>
        </w:rPr>
      </w:pPr>
      <w:r w:rsidRPr="00431BA7">
        <w:rPr>
          <w:b/>
          <w:sz w:val="24"/>
          <w:szCs w:val="24"/>
        </w:rPr>
        <w:t xml:space="preserve">Comment: </w:t>
      </w:r>
      <w:r w:rsidRPr="00431BA7">
        <w:rPr>
          <w:sz w:val="24"/>
          <w:szCs w:val="24"/>
        </w:rPr>
        <w:t xml:space="preserve">One commenter </w:t>
      </w:r>
      <w:r w:rsidR="00420845" w:rsidRPr="00431BA7">
        <w:rPr>
          <w:sz w:val="24"/>
          <w:szCs w:val="24"/>
        </w:rPr>
        <w:t>expressed</w:t>
      </w:r>
      <w:r w:rsidRPr="00431BA7">
        <w:rPr>
          <w:sz w:val="24"/>
          <w:szCs w:val="24"/>
        </w:rPr>
        <w:t xml:space="preserve"> confusion at proposed 703.5(b)(4), which allows for substantiation questions to vary according to the type of TSCA submission they accompany</w:t>
      </w:r>
      <w:r w:rsidR="00420845" w:rsidRPr="00431BA7">
        <w:rPr>
          <w:sz w:val="24"/>
          <w:szCs w:val="24"/>
        </w:rPr>
        <w:t>: “Unless otherwise specified in the relevant electronic reporting form, answers to the following questions must be provided for each chemical identity-related confidentiality claim in a TSCA submission.” The commenter asserted that “EPA has not explained why these questions would not need to be answered in all cases, including when a claim is asserted in a submission filed using an electronic reporting form. Indeed, claimants should be required to answer these questions in all cases involving such claims.”</w:t>
      </w:r>
    </w:p>
    <w:p w14:paraId="144CD896" w14:textId="77777777" w:rsidR="00FD7CD7" w:rsidRPr="00431BA7" w:rsidRDefault="00FD7CD7" w:rsidP="00FD7CD7">
      <w:pPr>
        <w:rPr>
          <w:rFonts w:cstheme="minorHAnsi"/>
          <w:sz w:val="24"/>
          <w:szCs w:val="24"/>
        </w:rPr>
      </w:pPr>
      <w:r w:rsidRPr="00431BA7">
        <w:rPr>
          <w:rFonts w:cstheme="minorHAnsi"/>
          <w:sz w:val="24"/>
          <w:szCs w:val="24"/>
        </w:rPr>
        <w:t>Source: -0050</w:t>
      </w:r>
    </w:p>
    <w:p w14:paraId="28C86C36" w14:textId="0EB6A26E" w:rsidR="00FD7CD7" w:rsidRPr="00431BA7" w:rsidRDefault="00FD7CD7" w:rsidP="00FD7CD7">
      <w:pPr>
        <w:rPr>
          <w:rFonts w:cstheme="minorHAnsi"/>
          <w:sz w:val="24"/>
          <w:szCs w:val="24"/>
        </w:rPr>
      </w:pPr>
      <w:r w:rsidRPr="00431BA7">
        <w:rPr>
          <w:rFonts w:cstheme="minorHAnsi"/>
          <w:b/>
          <w:bCs/>
          <w:sz w:val="24"/>
          <w:szCs w:val="24"/>
        </w:rPr>
        <w:t>Response</w:t>
      </w:r>
      <w:r w:rsidRPr="00431BA7">
        <w:rPr>
          <w:rFonts w:cstheme="minorHAnsi"/>
          <w:sz w:val="24"/>
          <w:szCs w:val="24"/>
        </w:rPr>
        <w:t xml:space="preserve">:  </w:t>
      </w:r>
      <w:r w:rsidR="00420845" w:rsidRPr="00431BA7">
        <w:rPr>
          <w:rFonts w:cstheme="minorHAnsi"/>
          <w:sz w:val="24"/>
          <w:szCs w:val="24"/>
        </w:rPr>
        <w:t xml:space="preserve">EPA agrees that all submissions involving non-exempt (under TSCA section 14(c)(2)) chemical identity CBI claims must be substantiated.  </w:t>
      </w:r>
      <w:r w:rsidR="009675C4" w:rsidRPr="00431BA7">
        <w:rPr>
          <w:rFonts w:cstheme="minorHAnsi"/>
          <w:sz w:val="24"/>
          <w:szCs w:val="24"/>
        </w:rPr>
        <w:t>Part</w:t>
      </w:r>
      <w:r w:rsidRPr="00431BA7">
        <w:rPr>
          <w:rFonts w:cstheme="minorHAnsi"/>
          <w:sz w:val="24"/>
          <w:szCs w:val="24"/>
        </w:rPr>
        <w:t xml:space="preserve"> 703.5(b)(4) </w:t>
      </w:r>
      <w:r w:rsidR="00420845" w:rsidRPr="00431BA7">
        <w:rPr>
          <w:rFonts w:cstheme="minorHAnsi"/>
          <w:sz w:val="24"/>
          <w:szCs w:val="24"/>
        </w:rPr>
        <w:t xml:space="preserve">simply permits the substantiation questions for individual reporting rules and as presented on their corresponding reporting forms to vary according to the information intended to be collected.  </w:t>
      </w:r>
      <w:r w:rsidRPr="00431BA7">
        <w:rPr>
          <w:rFonts w:cstheme="minorHAnsi"/>
          <w:sz w:val="24"/>
          <w:szCs w:val="24"/>
        </w:rPr>
        <w:t xml:space="preserve">EPA anticipates that chemical-identity </w:t>
      </w:r>
      <w:r w:rsidR="009675C4" w:rsidRPr="00431BA7">
        <w:rPr>
          <w:rFonts w:cstheme="minorHAnsi"/>
          <w:sz w:val="24"/>
          <w:szCs w:val="24"/>
        </w:rPr>
        <w:t>claims are not necessary or not permitted in certain cases</w:t>
      </w:r>
      <w:r w:rsidR="00420845" w:rsidRPr="00431BA7">
        <w:rPr>
          <w:rFonts w:cstheme="minorHAnsi"/>
          <w:sz w:val="24"/>
          <w:szCs w:val="24"/>
        </w:rPr>
        <w:t xml:space="preserve"> (such as those concerning TSCA section</w:t>
      </w:r>
      <w:r w:rsidR="008F2580" w:rsidRPr="00431BA7">
        <w:rPr>
          <w:rFonts w:cstheme="minorHAnsi"/>
          <w:sz w:val="24"/>
          <w:szCs w:val="24"/>
        </w:rPr>
        <w:t>s</w:t>
      </w:r>
      <w:r w:rsidR="00420845" w:rsidRPr="00431BA7">
        <w:rPr>
          <w:rFonts w:cstheme="minorHAnsi"/>
          <w:sz w:val="24"/>
          <w:szCs w:val="24"/>
        </w:rPr>
        <w:t xml:space="preserve"> 4, 6, or 8 reporting on existing chemicals that are on the public Inventory)</w:t>
      </w:r>
      <w:r w:rsidR="009675C4" w:rsidRPr="00431BA7">
        <w:rPr>
          <w:rFonts w:cstheme="minorHAnsi"/>
          <w:sz w:val="24"/>
          <w:szCs w:val="24"/>
        </w:rPr>
        <w:t xml:space="preserve">.  </w:t>
      </w:r>
      <w:r w:rsidR="00683DB1" w:rsidRPr="00431BA7">
        <w:rPr>
          <w:rFonts w:cstheme="minorHAnsi"/>
          <w:sz w:val="24"/>
          <w:szCs w:val="24"/>
        </w:rPr>
        <w:t>Chemical identity claims may not require substantiation in other cases (e.g., section 5 PMNs in which chemical identity CBI claims are exempt from the substantiation requirement under TSCA section 14(c)(2)(G)).</w:t>
      </w:r>
      <w:r w:rsidR="002F63D6" w:rsidRPr="00431BA7">
        <w:rPr>
          <w:rFonts w:cstheme="minorHAnsi"/>
          <w:sz w:val="24"/>
          <w:szCs w:val="24"/>
        </w:rPr>
        <w:t xml:space="preserve">  </w:t>
      </w:r>
      <w:r w:rsidRPr="00431BA7">
        <w:rPr>
          <w:rFonts w:cstheme="minorHAnsi"/>
          <w:sz w:val="24"/>
          <w:szCs w:val="24"/>
        </w:rPr>
        <w:t>In such cases, these questions may be omitted from the reporting form entirely, or the form may permit them to be skipped.</w:t>
      </w:r>
      <w:r w:rsidR="00683DB1" w:rsidRPr="00431BA7">
        <w:rPr>
          <w:rFonts w:cstheme="minorHAnsi"/>
          <w:sz w:val="24"/>
          <w:szCs w:val="24"/>
        </w:rPr>
        <w:t xml:space="preserve">  Additionally, individual reporting rules might specify somewhat different substantiation questions tailored to the </w:t>
      </w:r>
      <w:proofErr w:type="gramStart"/>
      <w:r w:rsidR="00683DB1" w:rsidRPr="00431BA7">
        <w:rPr>
          <w:rFonts w:cstheme="minorHAnsi"/>
          <w:sz w:val="24"/>
          <w:szCs w:val="24"/>
        </w:rPr>
        <w:t>particular reporting</w:t>
      </w:r>
      <w:proofErr w:type="gramEnd"/>
      <w:r w:rsidR="00683DB1" w:rsidRPr="00431BA7">
        <w:rPr>
          <w:rFonts w:cstheme="minorHAnsi"/>
          <w:sz w:val="24"/>
          <w:szCs w:val="24"/>
        </w:rPr>
        <w:t xml:space="preserve"> exercise, so </w:t>
      </w:r>
      <w:r w:rsidR="000E2558" w:rsidRPr="00431BA7">
        <w:rPr>
          <w:rFonts w:cstheme="minorHAnsi"/>
          <w:sz w:val="24"/>
          <w:szCs w:val="24"/>
        </w:rPr>
        <w:t>40 CFR</w:t>
      </w:r>
      <w:r w:rsidR="00683DB1" w:rsidRPr="00431BA7">
        <w:rPr>
          <w:rFonts w:cstheme="minorHAnsi"/>
          <w:sz w:val="24"/>
          <w:szCs w:val="24"/>
        </w:rPr>
        <w:t xml:space="preserve"> 703.5(b)(4) allows that the substantiation questions </w:t>
      </w:r>
      <w:r w:rsidR="00683DB1" w:rsidRPr="00431BA7">
        <w:rPr>
          <w:rFonts w:cstheme="minorHAnsi"/>
          <w:sz w:val="24"/>
          <w:szCs w:val="24"/>
        </w:rPr>
        <w:lastRenderedPageBreak/>
        <w:t xml:space="preserve">themselves might be somewhat different from the standard or default questions included in </w:t>
      </w:r>
      <w:r w:rsidR="000E2558" w:rsidRPr="00431BA7">
        <w:rPr>
          <w:rFonts w:cstheme="minorHAnsi"/>
          <w:sz w:val="24"/>
          <w:szCs w:val="24"/>
        </w:rPr>
        <w:t>40 CFR</w:t>
      </w:r>
      <w:r w:rsidR="00683DB1" w:rsidRPr="00431BA7">
        <w:rPr>
          <w:rFonts w:cstheme="minorHAnsi"/>
          <w:sz w:val="24"/>
          <w:szCs w:val="24"/>
        </w:rPr>
        <w:t xml:space="preserve"> 703.5(b).</w:t>
      </w:r>
    </w:p>
    <w:p w14:paraId="0DD75E65" w14:textId="5AF3BC55" w:rsidR="006F3178" w:rsidRPr="00431BA7" w:rsidRDefault="006F3178" w:rsidP="002C4D8C">
      <w:pPr>
        <w:pStyle w:val="Heading2"/>
        <w:numPr>
          <w:ilvl w:val="0"/>
          <w:numId w:val="0"/>
        </w:numPr>
        <w:ind w:left="360" w:hanging="360"/>
      </w:pPr>
      <w:bookmarkStart w:id="13" w:name="_Toc132901185"/>
      <w:r w:rsidRPr="00431BA7">
        <w:t xml:space="preserve">Unit </w:t>
      </w:r>
      <w:r w:rsidR="00E401BF" w:rsidRPr="00431BA7">
        <w:t>7</w:t>
      </w:r>
      <w:r w:rsidRPr="00431BA7">
        <w:t>: Substantiation exemptions under TSCA 14(c)(2)</w:t>
      </w:r>
      <w:bookmarkEnd w:id="13"/>
    </w:p>
    <w:p w14:paraId="17FC9D94" w14:textId="3ACCE42E" w:rsidR="006F3178" w:rsidRPr="00431BA7" w:rsidRDefault="006F3178" w:rsidP="006F3178">
      <w:pPr>
        <w:rPr>
          <w:rFonts w:cstheme="minorHAnsi"/>
          <w:sz w:val="24"/>
          <w:szCs w:val="24"/>
        </w:rPr>
      </w:pPr>
      <w:r w:rsidRPr="00431BA7">
        <w:rPr>
          <w:rFonts w:cstheme="minorHAnsi"/>
          <w:b/>
          <w:bCs/>
          <w:sz w:val="24"/>
          <w:szCs w:val="24"/>
        </w:rPr>
        <w:t xml:space="preserve">Comment: </w:t>
      </w:r>
      <w:r w:rsidRPr="00431BA7">
        <w:rPr>
          <w:rFonts w:cstheme="minorHAnsi"/>
          <w:sz w:val="24"/>
          <w:szCs w:val="24"/>
        </w:rPr>
        <w:t xml:space="preserve">One commenter asserted that the substantiation exemption at </w:t>
      </w:r>
      <w:r w:rsidR="000E2558" w:rsidRPr="00431BA7">
        <w:rPr>
          <w:rFonts w:cstheme="minorHAnsi"/>
          <w:sz w:val="24"/>
          <w:szCs w:val="24"/>
        </w:rPr>
        <w:t xml:space="preserve">TSCA section </w:t>
      </w:r>
      <w:r w:rsidRPr="00431BA7">
        <w:rPr>
          <w:rFonts w:cstheme="minorHAnsi"/>
          <w:sz w:val="24"/>
          <w:szCs w:val="24"/>
        </w:rPr>
        <w:t xml:space="preserve">14(c)(2)(G) (for specific chemical identity </w:t>
      </w:r>
      <w:r w:rsidR="003677BE" w:rsidRPr="00431BA7">
        <w:rPr>
          <w:rFonts w:cstheme="minorHAnsi"/>
          <w:sz w:val="24"/>
          <w:szCs w:val="24"/>
        </w:rPr>
        <w:t xml:space="preserve">asserted </w:t>
      </w:r>
      <w:r w:rsidRPr="00431BA7">
        <w:rPr>
          <w:rFonts w:cstheme="minorHAnsi"/>
          <w:sz w:val="24"/>
          <w:szCs w:val="24"/>
        </w:rPr>
        <w:t>prior to introduction of that chemical</w:t>
      </w:r>
      <w:r w:rsidR="00E0283D" w:rsidRPr="00431BA7">
        <w:rPr>
          <w:rFonts w:cstheme="minorHAnsi"/>
          <w:sz w:val="24"/>
          <w:szCs w:val="24"/>
        </w:rPr>
        <w:t xml:space="preserve"> substance</w:t>
      </w:r>
      <w:r w:rsidRPr="00431BA7">
        <w:rPr>
          <w:rFonts w:cstheme="minorHAnsi"/>
          <w:sz w:val="24"/>
          <w:szCs w:val="24"/>
        </w:rPr>
        <w:t xml:space="preserve"> into commerce) is temporary</w:t>
      </w:r>
      <w:r w:rsidR="004E6F6F" w:rsidRPr="00431BA7">
        <w:rPr>
          <w:rFonts w:cstheme="minorHAnsi"/>
          <w:sz w:val="24"/>
          <w:szCs w:val="24"/>
        </w:rPr>
        <w:t>,</w:t>
      </w:r>
      <w:r w:rsidRPr="00431BA7">
        <w:rPr>
          <w:rFonts w:cstheme="minorHAnsi"/>
          <w:sz w:val="24"/>
          <w:szCs w:val="24"/>
        </w:rPr>
        <w:t xml:space="preserve"> </w:t>
      </w:r>
      <w:r w:rsidR="009965E5" w:rsidRPr="00431BA7">
        <w:rPr>
          <w:rFonts w:cstheme="minorHAnsi"/>
          <w:sz w:val="24"/>
          <w:szCs w:val="24"/>
        </w:rPr>
        <w:t>such that</w:t>
      </w:r>
      <w:r w:rsidR="00E0283D" w:rsidRPr="00431BA7">
        <w:rPr>
          <w:rFonts w:cstheme="minorHAnsi"/>
          <w:sz w:val="24"/>
          <w:szCs w:val="24"/>
        </w:rPr>
        <w:t xml:space="preserve"> once the chemical substance is </w:t>
      </w:r>
      <w:r w:rsidR="00A45A4A" w:rsidRPr="00431BA7">
        <w:rPr>
          <w:rFonts w:cstheme="minorHAnsi"/>
          <w:sz w:val="24"/>
          <w:szCs w:val="24"/>
        </w:rPr>
        <w:t>introduced into commerce</w:t>
      </w:r>
      <w:r w:rsidRPr="00431BA7">
        <w:rPr>
          <w:rFonts w:cstheme="minorHAnsi"/>
          <w:sz w:val="24"/>
          <w:szCs w:val="24"/>
        </w:rPr>
        <w:t xml:space="preserve"> </w:t>
      </w:r>
      <w:r w:rsidR="00356E6D" w:rsidRPr="00431BA7">
        <w:rPr>
          <w:rFonts w:cstheme="minorHAnsi"/>
          <w:sz w:val="24"/>
          <w:szCs w:val="24"/>
        </w:rPr>
        <w:t>the</w:t>
      </w:r>
      <w:r w:rsidR="001A6AE8" w:rsidRPr="00431BA7">
        <w:rPr>
          <w:rFonts w:cstheme="minorHAnsi"/>
          <w:sz w:val="24"/>
          <w:szCs w:val="24"/>
        </w:rPr>
        <w:t xml:space="preserve"> </w:t>
      </w:r>
      <w:r w:rsidR="00A45A4A" w:rsidRPr="00431BA7">
        <w:rPr>
          <w:rFonts w:cstheme="minorHAnsi"/>
          <w:sz w:val="24"/>
          <w:szCs w:val="24"/>
        </w:rPr>
        <w:t xml:space="preserve">CBI </w:t>
      </w:r>
      <w:r w:rsidRPr="00431BA7">
        <w:rPr>
          <w:rFonts w:cstheme="minorHAnsi"/>
          <w:sz w:val="24"/>
          <w:szCs w:val="24"/>
        </w:rPr>
        <w:t xml:space="preserve">claim </w:t>
      </w:r>
      <w:r w:rsidR="00A45A4A" w:rsidRPr="00431BA7">
        <w:rPr>
          <w:rFonts w:cstheme="minorHAnsi"/>
          <w:sz w:val="24"/>
          <w:szCs w:val="24"/>
        </w:rPr>
        <w:t>asserted</w:t>
      </w:r>
      <w:r w:rsidR="00356E6D" w:rsidRPr="00431BA7">
        <w:rPr>
          <w:rFonts w:cstheme="minorHAnsi"/>
          <w:sz w:val="24"/>
          <w:szCs w:val="24"/>
        </w:rPr>
        <w:t xml:space="preserve"> prior to</w:t>
      </w:r>
      <w:r w:rsidRPr="00431BA7">
        <w:rPr>
          <w:rFonts w:cstheme="minorHAnsi"/>
          <w:sz w:val="24"/>
          <w:szCs w:val="24"/>
        </w:rPr>
        <w:t xml:space="preserve"> commercialization </w:t>
      </w:r>
      <w:r w:rsidR="004C4C40" w:rsidRPr="00431BA7">
        <w:rPr>
          <w:rFonts w:cstheme="minorHAnsi"/>
          <w:sz w:val="24"/>
          <w:szCs w:val="24"/>
        </w:rPr>
        <w:t xml:space="preserve">must </w:t>
      </w:r>
      <w:r w:rsidR="00A45A4A" w:rsidRPr="00431BA7">
        <w:rPr>
          <w:rFonts w:cstheme="minorHAnsi"/>
          <w:sz w:val="24"/>
          <w:szCs w:val="24"/>
        </w:rPr>
        <w:t xml:space="preserve">then </w:t>
      </w:r>
      <w:r w:rsidR="004C4C40" w:rsidRPr="00431BA7">
        <w:rPr>
          <w:rFonts w:cstheme="minorHAnsi"/>
          <w:sz w:val="24"/>
          <w:szCs w:val="24"/>
        </w:rPr>
        <w:t>be substantiated</w:t>
      </w:r>
      <w:r w:rsidRPr="00431BA7">
        <w:rPr>
          <w:rFonts w:cstheme="minorHAnsi"/>
          <w:sz w:val="24"/>
          <w:szCs w:val="24"/>
        </w:rPr>
        <w:t>.</w:t>
      </w:r>
      <w:r w:rsidR="00F30A3E" w:rsidRPr="00431BA7">
        <w:rPr>
          <w:rFonts w:cstheme="minorHAnsi"/>
          <w:sz w:val="24"/>
          <w:szCs w:val="24"/>
        </w:rPr>
        <w:t xml:space="preserve">  The commenter asserted that EPA must review such claims under TSCA section 14(g) when a Notice of Commencement (NOC) is filed.</w:t>
      </w:r>
    </w:p>
    <w:p w14:paraId="17E9AED2" w14:textId="277456B5" w:rsidR="00806F54" w:rsidRPr="00431BA7" w:rsidRDefault="00806F54" w:rsidP="006F3178">
      <w:pPr>
        <w:rPr>
          <w:rFonts w:cstheme="minorHAnsi"/>
          <w:sz w:val="24"/>
          <w:szCs w:val="24"/>
        </w:rPr>
      </w:pPr>
      <w:r w:rsidRPr="00431BA7">
        <w:rPr>
          <w:rFonts w:cstheme="minorHAnsi"/>
          <w:sz w:val="24"/>
          <w:szCs w:val="24"/>
        </w:rPr>
        <w:t>Source: -0050</w:t>
      </w:r>
    </w:p>
    <w:p w14:paraId="3669197A" w14:textId="49586E80" w:rsidR="000F7452" w:rsidRPr="00431BA7" w:rsidRDefault="00060C02" w:rsidP="000140FB">
      <w:pPr>
        <w:rPr>
          <w:rFonts w:cstheme="minorHAnsi"/>
          <w:sz w:val="24"/>
          <w:szCs w:val="24"/>
        </w:rPr>
      </w:pPr>
      <w:r w:rsidRPr="00431BA7">
        <w:rPr>
          <w:rFonts w:cstheme="minorHAnsi"/>
          <w:b/>
          <w:bCs/>
          <w:sz w:val="24"/>
          <w:szCs w:val="24"/>
        </w:rPr>
        <w:t>Response</w:t>
      </w:r>
      <w:r w:rsidR="006F3178" w:rsidRPr="00431BA7">
        <w:rPr>
          <w:rFonts w:cstheme="minorHAnsi"/>
          <w:b/>
          <w:bCs/>
          <w:sz w:val="24"/>
          <w:szCs w:val="24"/>
        </w:rPr>
        <w:t xml:space="preserve">:  </w:t>
      </w:r>
      <w:r w:rsidR="006F3178" w:rsidRPr="00431BA7">
        <w:rPr>
          <w:rFonts w:cstheme="minorHAnsi"/>
          <w:sz w:val="24"/>
          <w:szCs w:val="24"/>
        </w:rPr>
        <w:t xml:space="preserve">EPA disagrees with the commenter’s </w:t>
      </w:r>
      <w:r w:rsidR="006B3D97" w:rsidRPr="00431BA7">
        <w:rPr>
          <w:rFonts w:cstheme="minorHAnsi"/>
          <w:sz w:val="24"/>
          <w:szCs w:val="24"/>
        </w:rPr>
        <w:t xml:space="preserve">assertion </w:t>
      </w:r>
      <w:r w:rsidR="006F3178" w:rsidRPr="00431BA7">
        <w:rPr>
          <w:rFonts w:cstheme="minorHAnsi"/>
          <w:sz w:val="24"/>
          <w:szCs w:val="24"/>
        </w:rPr>
        <w:t xml:space="preserve">that </w:t>
      </w:r>
      <w:r w:rsidR="00F976DD" w:rsidRPr="00431BA7">
        <w:rPr>
          <w:rFonts w:cstheme="minorHAnsi"/>
          <w:sz w:val="24"/>
          <w:szCs w:val="24"/>
        </w:rPr>
        <w:t xml:space="preserve">exempt </w:t>
      </w:r>
      <w:r w:rsidR="00383677" w:rsidRPr="00431BA7">
        <w:rPr>
          <w:rFonts w:cstheme="minorHAnsi"/>
          <w:sz w:val="24"/>
          <w:szCs w:val="24"/>
        </w:rPr>
        <w:t xml:space="preserve">chemical identity </w:t>
      </w:r>
      <w:r w:rsidR="00F976DD" w:rsidRPr="00431BA7">
        <w:rPr>
          <w:rFonts w:cstheme="minorHAnsi"/>
          <w:sz w:val="24"/>
          <w:szCs w:val="24"/>
        </w:rPr>
        <w:t xml:space="preserve">claims under </w:t>
      </w:r>
      <w:r w:rsidR="00122D7B" w:rsidRPr="00431BA7">
        <w:rPr>
          <w:rFonts w:cstheme="minorHAnsi"/>
          <w:sz w:val="24"/>
          <w:szCs w:val="24"/>
        </w:rPr>
        <w:t xml:space="preserve">TSCA </w:t>
      </w:r>
      <w:r w:rsidR="00D22C36" w:rsidRPr="00431BA7">
        <w:rPr>
          <w:rFonts w:cstheme="minorHAnsi"/>
          <w:sz w:val="24"/>
          <w:szCs w:val="24"/>
        </w:rPr>
        <w:t xml:space="preserve">section 14(c)(2)(G) </w:t>
      </w:r>
      <w:r w:rsidR="00E351CF" w:rsidRPr="00431BA7">
        <w:rPr>
          <w:rFonts w:cstheme="minorHAnsi"/>
          <w:sz w:val="24"/>
          <w:szCs w:val="24"/>
        </w:rPr>
        <w:t>asserted befo</w:t>
      </w:r>
      <w:r w:rsidR="00A35224" w:rsidRPr="00431BA7">
        <w:rPr>
          <w:rFonts w:cstheme="minorHAnsi"/>
          <w:sz w:val="24"/>
          <w:szCs w:val="24"/>
        </w:rPr>
        <w:t xml:space="preserve">re commercialization </w:t>
      </w:r>
      <w:proofErr w:type="gramStart"/>
      <w:r w:rsidR="00A35224" w:rsidRPr="00431BA7">
        <w:rPr>
          <w:rFonts w:cstheme="minorHAnsi"/>
          <w:sz w:val="24"/>
          <w:szCs w:val="24"/>
        </w:rPr>
        <w:t>lose</w:t>
      </w:r>
      <w:proofErr w:type="gramEnd"/>
      <w:r w:rsidR="00A35224" w:rsidRPr="00431BA7">
        <w:rPr>
          <w:rFonts w:cstheme="minorHAnsi"/>
          <w:sz w:val="24"/>
          <w:szCs w:val="24"/>
        </w:rPr>
        <w:t xml:space="preserve"> their exemption</w:t>
      </w:r>
      <w:r w:rsidR="0015601F" w:rsidRPr="00431BA7">
        <w:rPr>
          <w:rFonts w:cstheme="minorHAnsi"/>
          <w:sz w:val="24"/>
          <w:szCs w:val="24"/>
        </w:rPr>
        <w:t xml:space="preserve"> </w:t>
      </w:r>
      <w:r w:rsidR="006F3178" w:rsidRPr="00431BA7">
        <w:rPr>
          <w:rFonts w:cstheme="minorHAnsi"/>
          <w:sz w:val="24"/>
          <w:szCs w:val="24"/>
        </w:rPr>
        <w:t>once the particular chemical</w:t>
      </w:r>
      <w:r w:rsidR="001B3011" w:rsidRPr="00431BA7">
        <w:rPr>
          <w:rFonts w:cstheme="minorHAnsi"/>
          <w:sz w:val="24"/>
          <w:szCs w:val="24"/>
        </w:rPr>
        <w:t xml:space="preserve"> substance</w:t>
      </w:r>
      <w:r w:rsidR="006F3178" w:rsidRPr="00431BA7">
        <w:rPr>
          <w:rFonts w:cstheme="minorHAnsi"/>
          <w:sz w:val="24"/>
          <w:szCs w:val="24"/>
        </w:rPr>
        <w:t xml:space="preserve"> is introduced into commerce</w:t>
      </w:r>
      <w:r w:rsidR="00D22C36" w:rsidRPr="00431BA7">
        <w:rPr>
          <w:rFonts w:cstheme="minorHAnsi"/>
          <w:sz w:val="24"/>
          <w:szCs w:val="24"/>
        </w:rPr>
        <w:t>.</w:t>
      </w:r>
      <w:r w:rsidR="00FB58CA" w:rsidRPr="00431BA7">
        <w:rPr>
          <w:rFonts w:cstheme="minorHAnsi"/>
          <w:sz w:val="24"/>
          <w:szCs w:val="24"/>
        </w:rPr>
        <w:t xml:space="preserve"> </w:t>
      </w:r>
      <w:r w:rsidR="00C178BA" w:rsidRPr="00431BA7">
        <w:rPr>
          <w:rFonts w:cstheme="minorHAnsi"/>
          <w:sz w:val="24"/>
          <w:szCs w:val="24"/>
        </w:rPr>
        <w:t>The exemption</w:t>
      </w:r>
      <w:r w:rsidR="00CD1EC9" w:rsidRPr="00431BA7">
        <w:rPr>
          <w:rFonts w:cstheme="minorHAnsi"/>
          <w:sz w:val="24"/>
          <w:szCs w:val="24"/>
        </w:rPr>
        <w:t xml:space="preserve"> continues to apply</w:t>
      </w:r>
      <w:r w:rsidR="0085249A" w:rsidRPr="00431BA7">
        <w:rPr>
          <w:rFonts w:cstheme="minorHAnsi"/>
          <w:sz w:val="24"/>
          <w:szCs w:val="24"/>
        </w:rPr>
        <w:t xml:space="preserve"> to the pre</w:t>
      </w:r>
      <w:r w:rsidR="007B1D93" w:rsidRPr="00431BA7">
        <w:rPr>
          <w:rFonts w:cstheme="minorHAnsi"/>
          <w:sz w:val="24"/>
          <w:szCs w:val="24"/>
        </w:rPr>
        <w:t>-</w:t>
      </w:r>
      <w:r w:rsidR="0085249A" w:rsidRPr="00431BA7">
        <w:rPr>
          <w:rFonts w:cstheme="minorHAnsi"/>
          <w:sz w:val="24"/>
          <w:szCs w:val="24"/>
        </w:rPr>
        <w:t>comme</w:t>
      </w:r>
      <w:r w:rsidR="007B1D93" w:rsidRPr="00431BA7">
        <w:rPr>
          <w:rFonts w:cstheme="minorHAnsi"/>
          <w:sz w:val="24"/>
          <w:szCs w:val="24"/>
        </w:rPr>
        <w:t>rcialization claim,</w:t>
      </w:r>
      <w:r w:rsidR="006B6421" w:rsidRPr="00431BA7">
        <w:rPr>
          <w:rFonts w:cstheme="minorHAnsi"/>
          <w:sz w:val="24"/>
          <w:szCs w:val="24"/>
        </w:rPr>
        <w:t xml:space="preserve"> but </w:t>
      </w:r>
      <w:r w:rsidR="009B2A93" w:rsidRPr="00431BA7">
        <w:rPr>
          <w:rFonts w:cstheme="minorHAnsi"/>
          <w:sz w:val="24"/>
          <w:szCs w:val="24"/>
        </w:rPr>
        <w:t xml:space="preserve">any chemical identity claim </w:t>
      </w:r>
      <w:r w:rsidR="00EB2C71" w:rsidRPr="00431BA7">
        <w:rPr>
          <w:rFonts w:cstheme="minorHAnsi"/>
          <w:sz w:val="24"/>
          <w:szCs w:val="24"/>
        </w:rPr>
        <w:t>asserted</w:t>
      </w:r>
      <w:r w:rsidR="00A42D95" w:rsidRPr="00431BA7">
        <w:rPr>
          <w:rFonts w:cstheme="minorHAnsi"/>
          <w:sz w:val="24"/>
          <w:szCs w:val="24"/>
        </w:rPr>
        <w:t xml:space="preserve"> post-commercialization</w:t>
      </w:r>
      <w:r w:rsidR="005F7F40" w:rsidRPr="00431BA7">
        <w:rPr>
          <w:rFonts w:cstheme="minorHAnsi"/>
          <w:sz w:val="24"/>
          <w:szCs w:val="24"/>
        </w:rPr>
        <w:t xml:space="preserve"> does not qualify for the </w:t>
      </w:r>
      <w:r w:rsidR="00FF19D8" w:rsidRPr="00431BA7">
        <w:rPr>
          <w:rFonts w:cstheme="minorHAnsi"/>
          <w:sz w:val="24"/>
          <w:szCs w:val="24"/>
        </w:rPr>
        <w:t>exemption.</w:t>
      </w:r>
      <w:r w:rsidR="00BB7345" w:rsidRPr="00431BA7">
        <w:rPr>
          <w:rFonts w:cstheme="minorHAnsi"/>
          <w:sz w:val="24"/>
          <w:szCs w:val="24"/>
        </w:rPr>
        <w:t xml:space="preserve"> As an example, </w:t>
      </w:r>
      <w:r w:rsidR="00CC3B3D" w:rsidRPr="00431BA7">
        <w:rPr>
          <w:rFonts w:cstheme="minorHAnsi"/>
          <w:sz w:val="24"/>
          <w:szCs w:val="24"/>
        </w:rPr>
        <w:t xml:space="preserve">when </w:t>
      </w:r>
      <w:r w:rsidR="00BB7345" w:rsidRPr="00431BA7">
        <w:rPr>
          <w:rFonts w:cstheme="minorHAnsi"/>
          <w:sz w:val="24"/>
          <w:szCs w:val="24"/>
        </w:rPr>
        <w:t>EPA receives a PMN</w:t>
      </w:r>
      <w:r w:rsidR="00DB2366" w:rsidRPr="00431BA7">
        <w:rPr>
          <w:rFonts w:cstheme="minorHAnsi"/>
          <w:sz w:val="24"/>
          <w:szCs w:val="24"/>
        </w:rPr>
        <w:t xml:space="preserve"> for Chemical X </w:t>
      </w:r>
      <w:r w:rsidR="00CC3B3D" w:rsidRPr="00431BA7">
        <w:rPr>
          <w:rFonts w:cstheme="minorHAnsi"/>
          <w:sz w:val="24"/>
          <w:szCs w:val="24"/>
        </w:rPr>
        <w:t>claiming the specific chemical identity</w:t>
      </w:r>
      <w:r w:rsidR="00503308" w:rsidRPr="00431BA7">
        <w:rPr>
          <w:rFonts w:cstheme="minorHAnsi"/>
          <w:sz w:val="24"/>
          <w:szCs w:val="24"/>
        </w:rPr>
        <w:t xml:space="preserve"> as confidential, </w:t>
      </w:r>
      <w:r w:rsidR="00150C41" w:rsidRPr="00431BA7">
        <w:rPr>
          <w:rFonts w:cstheme="minorHAnsi"/>
          <w:sz w:val="24"/>
          <w:szCs w:val="24"/>
        </w:rPr>
        <w:t>that CBI claim is exemp</w:t>
      </w:r>
      <w:r w:rsidR="00AA1666" w:rsidRPr="00431BA7">
        <w:rPr>
          <w:rFonts w:cstheme="minorHAnsi"/>
          <w:sz w:val="24"/>
          <w:szCs w:val="24"/>
        </w:rPr>
        <w:t>t</w:t>
      </w:r>
      <w:r w:rsidR="007B1D93" w:rsidRPr="00431BA7">
        <w:rPr>
          <w:rFonts w:cstheme="minorHAnsi"/>
          <w:sz w:val="24"/>
          <w:szCs w:val="24"/>
        </w:rPr>
        <w:t xml:space="preserve"> </w:t>
      </w:r>
      <w:r w:rsidR="00A62EF4" w:rsidRPr="00431BA7">
        <w:rPr>
          <w:rFonts w:cstheme="minorHAnsi"/>
          <w:sz w:val="24"/>
          <w:szCs w:val="24"/>
        </w:rPr>
        <w:t xml:space="preserve">under </w:t>
      </w:r>
      <w:r w:rsidR="00122D7B" w:rsidRPr="00431BA7">
        <w:rPr>
          <w:rFonts w:cstheme="minorHAnsi"/>
          <w:sz w:val="24"/>
          <w:szCs w:val="24"/>
        </w:rPr>
        <w:t xml:space="preserve">section </w:t>
      </w:r>
      <w:r w:rsidR="00A62EF4" w:rsidRPr="00431BA7">
        <w:rPr>
          <w:rFonts w:cstheme="minorHAnsi"/>
          <w:sz w:val="24"/>
          <w:szCs w:val="24"/>
        </w:rPr>
        <w:t>14(c)(2)(G) and review under 14(g)(1)(C)(i). However, if</w:t>
      </w:r>
      <w:r w:rsidR="006F3178" w:rsidRPr="00431BA7">
        <w:rPr>
          <w:rFonts w:cstheme="minorHAnsi"/>
          <w:sz w:val="24"/>
          <w:szCs w:val="24"/>
        </w:rPr>
        <w:t xml:space="preserve"> EPA </w:t>
      </w:r>
      <w:r w:rsidR="00574A37" w:rsidRPr="00431BA7">
        <w:rPr>
          <w:rFonts w:cstheme="minorHAnsi"/>
          <w:sz w:val="24"/>
          <w:szCs w:val="24"/>
        </w:rPr>
        <w:t xml:space="preserve">subsequently </w:t>
      </w:r>
      <w:r w:rsidR="00550DAE" w:rsidRPr="00431BA7">
        <w:rPr>
          <w:rFonts w:cstheme="minorHAnsi"/>
          <w:sz w:val="24"/>
          <w:szCs w:val="24"/>
        </w:rPr>
        <w:t xml:space="preserve">receives </w:t>
      </w:r>
      <w:r w:rsidR="006F3178" w:rsidRPr="00431BA7">
        <w:rPr>
          <w:rFonts w:cstheme="minorHAnsi"/>
          <w:sz w:val="24"/>
          <w:szCs w:val="24"/>
        </w:rPr>
        <w:t>a</w:t>
      </w:r>
      <w:r w:rsidR="00F30A3E" w:rsidRPr="00431BA7">
        <w:rPr>
          <w:rFonts w:cstheme="minorHAnsi"/>
          <w:sz w:val="24"/>
          <w:szCs w:val="24"/>
        </w:rPr>
        <w:t>n</w:t>
      </w:r>
      <w:r w:rsidR="006F3178" w:rsidRPr="00431BA7">
        <w:rPr>
          <w:rFonts w:cstheme="minorHAnsi"/>
          <w:sz w:val="24"/>
          <w:szCs w:val="24"/>
        </w:rPr>
        <w:t xml:space="preserve"> </w:t>
      </w:r>
      <w:r w:rsidR="00F30A3E" w:rsidRPr="00431BA7">
        <w:rPr>
          <w:rFonts w:cstheme="minorHAnsi"/>
          <w:sz w:val="24"/>
          <w:szCs w:val="24"/>
        </w:rPr>
        <w:t>NOC</w:t>
      </w:r>
      <w:r w:rsidR="00A62EF4" w:rsidRPr="00431BA7">
        <w:rPr>
          <w:rFonts w:cstheme="minorHAnsi"/>
          <w:sz w:val="24"/>
          <w:szCs w:val="24"/>
        </w:rPr>
        <w:t xml:space="preserve"> </w:t>
      </w:r>
      <w:r w:rsidR="006F3178" w:rsidRPr="00431BA7">
        <w:rPr>
          <w:rFonts w:cstheme="minorHAnsi"/>
          <w:sz w:val="24"/>
          <w:szCs w:val="24"/>
        </w:rPr>
        <w:t xml:space="preserve">for </w:t>
      </w:r>
      <w:r w:rsidR="0093421D" w:rsidRPr="00431BA7">
        <w:rPr>
          <w:rFonts w:cstheme="minorHAnsi"/>
          <w:sz w:val="24"/>
          <w:szCs w:val="24"/>
        </w:rPr>
        <w:t>Chemical X</w:t>
      </w:r>
      <w:r w:rsidR="00EE6DE2" w:rsidRPr="00431BA7">
        <w:rPr>
          <w:rFonts w:cstheme="minorHAnsi"/>
          <w:sz w:val="24"/>
          <w:szCs w:val="24"/>
        </w:rPr>
        <w:t xml:space="preserve"> claiming the chemical identity as CBI, the cla</w:t>
      </w:r>
      <w:r w:rsidR="0034105B" w:rsidRPr="00431BA7">
        <w:rPr>
          <w:rFonts w:cstheme="minorHAnsi"/>
          <w:sz w:val="24"/>
          <w:szCs w:val="24"/>
        </w:rPr>
        <w:t xml:space="preserve">im in the </w:t>
      </w:r>
      <w:r w:rsidR="00CD09AD" w:rsidRPr="00431BA7">
        <w:rPr>
          <w:rFonts w:cstheme="minorHAnsi"/>
          <w:sz w:val="24"/>
          <w:szCs w:val="24"/>
        </w:rPr>
        <w:t>NOC</w:t>
      </w:r>
      <w:r w:rsidR="007D6FC4" w:rsidRPr="00431BA7">
        <w:rPr>
          <w:rFonts w:cstheme="minorHAnsi"/>
          <w:sz w:val="24"/>
          <w:szCs w:val="24"/>
        </w:rPr>
        <w:t xml:space="preserve"> is not exempt</w:t>
      </w:r>
      <w:r w:rsidR="008A0BDD" w:rsidRPr="00431BA7">
        <w:rPr>
          <w:rFonts w:cstheme="minorHAnsi"/>
          <w:sz w:val="24"/>
          <w:szCs w:val="24"/>
        </w:rPr>
        <w:t xml:space="preserve"> because the substance is now commercialized</w:t>
      </w:r>
      <w:r w:rsidR="006F3178" w:rsidRPr="00431BA7">
        <w:rPr>
          <w:rFonts w:cstheme="minorHAnsi"/>
          <w:sz w:val="24"/>
          <w:szCs w:val="24"/>
        </w:rPr>
        <w:t xml:space="preserve">.  </w:t>
      </w:r>
    </w:p>
    <w:p w14:paraId="42674395" w14:textId="02BB72AA" w:rsidR="006831B3" w:rsidRPr="00431BA7" w:rsidRDefault="000F7452" w:rsidP="000140FB">
      <w:pPr>
        <w:rPr>
          <w:rFonts w:cstheme="minorHAnsi"/>
          <w:sz w:val="24"/>
          <w:szCs w:val="24"/>
        </w:rPr>
      </w:pPr>
      <w:r w:rsidRPr="00431BA7">
        <w:rPr>
          <w:rFonts w:cstheme="minorHAnsi"/>
          <w:sz w:val="24"/>
          <w:szCs w:val="24"/>
        </w:rPr>
        <w:t>T</w:t>
      </w:r>
      <w:r w:rsidR="00B144B8" w:rsidRPr="00431BA7">
        <w:rPr>
          <w:rFonts w:cstheme="minorHAnsi"/>
          <w:sz w:val="24"/>
          <w:szCs w:val="24"/>
        </w:rPr>
        <w:t>here is no requirement</w:t>
      </w:r>
      <w:r w:rsidR="007C7FB3" w:rsidRPr="00431BA7">
        <w:rPr>
          <w:rFonts w:cstheme="minorHAnsi"/>
          <w:sz w:val="24"/>
          <w:szCs w:val="24"/>
        </w:rPr>
        <w:t xml:space="preserve"> in TSCA</w:t>
      </w:r>
      <w:r w:rsidR="00B144B8" w:rsidRPr="00431BA7">
        <w:rPr>
          <w:rFonts w:cstheme="minorHAnsi"/>
          <w:sz w:val="24"/>
          <w:szCs w:val="24"/>
        </w:rPr>
        <w:t xml:space="preserve"> t</w:t>
      </w:r>
      <w:r w:rsidR="008666E8" w:rsidRPr="00431BA7">
        <w:rPr>
          <w:rFonts w:cstheme="minorHAnsi"/>
          <w:sz w:val="24"/>
          <w:szCs w:val="24"/>
        </w:rPr>
        <w:t>hat EPA</w:t>
      </w:r>
      <w:r w:rsidR="00B144B8" w:rsidRPr="00431BA7">
        <w:rPr>
          <w:rFonts w:cstheme="minorHAnsi"/>
          <w:sz w:val="24"/>
          <w:szCs w:val="24"/>
        </w:rPr>
        <w:t xml:space="preserve"> require substantiation </w:t>
      </w:r>
      <w:r w:rsidR="007C7FB3" w:rsidRPr="00431BA7">
        <w:rPr>
          <w:rFonts w:cstheme="minorHAnsi"/>
          <w:sz w:val="24"/>
          <w:szCs w:val="24"/>
        </w:rPr>
        <w:t xml:space="preserve">or review </w:t>
      </w:r>
      <w:r w:rsidR="00B144B8" w:rsidRPr="00431BA7">
        <w:rPr>
          <w:rFonts w:cstheme="minorHAnsi"/>
          <w:sz w:val="24"/>
          <w:szCs w:val="24"/>
        </w:rPr>
        <w:t xml:space="preserve">of past claims once </w:t>
      </w:r>
      <w:r w:rsidR="001B6DF0" w:rsidRPr="00431BA7">
        <w:rPr>
          <w:rFonts w:cstheme="minorHAnsi"/>
          <w:sz w:val="24"/>
          <w:szCs w:val="24"/>
        </w:rPr>
        <w:t>a chemical is introduced into commerce</w:t>
      </w:r>
      <w:r w:rsidR="0065320D" w:rsidRPr="00431BA7">
        <w:rPr>
          <w:rFonts w:cstheme="minorHAnsi"/>
          <w:sz w:val="24"/>
          <w:szCs w:val="24"/>
        </w:rPr>
        <w:t>.</w:t>
      </w:r>
      <w:r w:rsidR="000B42BC" w:rsidRPr="00431BA7">
        <w:rPr>
          <w:rFonts w:cstheme="minorHAnsi"/>
          <w:sz w:val="24"/>
          <w:szCs w:val="24"/>
        </w:rPr>
        <w:t xml:space="preserve"> </w:t>
      </w:r>
      <w:r w:rsidR="00F30A3E" w:rsidRPr="00431BA7">
        <w:rPr>
          <w:rFonts w:cstheme="minorHAnsi"/>
          <w:sz w:val="24"/>
          <w:szCs w:val="24"/>
        </w:rPr>
        <w:t>Further, s</w:t>
      </w:r>
      <w:r w:rsidR="000B42BC" w:rsidRPr="00431BA7">
        <w:rPr>
          <w:rFonts w:cstheme="minorHAnsi"/>
          <w:sz w:val="24"/>
          <w:szCs w:val="24"/>
        </w:rPr>
        <w:t xml:space="preserve">uch a </w:t>
      </w:r>
      <w:r w:rsidR="000D0F1C" w:rsidRPr="00431BA7">
        <w:rPr>
          <w:rFonts w:cstheme="minorHAnsi"/>
          <w:sz w:val="24"/>
          <w:szCs w:val="24"/>
        </w:rPr>
        <w:t>mandate</w:t>
      </w:r>
      <w:r w:rsidR="000B42BC" w:rsidRPr="00431BA7">
        <w:rPr>
          <w:rFonts w:cstheme="minorHAnsi"/>
          <w:sz w:val="24"/>
          <w:szCs w:val="24"/>
        </w:rPr>
        <w:t xml:space="preserve"> </w:t>
      </w:r>
      <w:r w:rsidR="00650D72" w:rsidRPr="00431BA7">
        <w:rPr>
          <w:rFonts w:cstheme="minorHAnsi"/>
          <w:sz w:val="24"/>
          <w:szCs w:val="24"/>
        </w:rPr>
        <w:t>can</w:t>
      </w:r>
      <w:r w:rsidR="000B42BC" w:rsidRPr="00431BA7">
        <w:rPr>
          <w:rFonts w:cstheme="minorHAnsi"/>
          <w:sz w:val="24"/>
          <w:szCs w:val="24"/>
        </w:rPr>
        <w:t>not be squared with the</w:t>
      </w:r>
      <w:r w:rsidR="00DE6057" w:rsidRPr="00431BA7">
        <w:rPr>
          <w:rFonts w:cstheme="minorHAnsi"/>
          <w:sz w:val="24"/>
          <w:szCs w:val="24"/>
        </w:rPr>
        <w:t xml:space="preserve"> requirement in </w:t>
      </w:r>
      <w:r w:rsidR="00C20929" w:rsidRPr="00431BA7">
        <w:rPr>
          <w:rFonts w:cstheme="minorHAnsi"/>
          <w:sz w:val="24"/>
          <w:szCs w:val="24"/>
        </w:rPr>
        <w:t xml:space="preserve">section 14(g)(1)(A) that </w:t>
      </w:r>
      <w:r w:rsidR="00133413" w:rsidRPr="00431BA7">
        <w:rPr>
          <w:rFonts w:cstheme="minorHAnsi"/>
          <w:sz w:val="24"/>
          <w:szCs w:val="24"/>
        </w:rPr>
        <w:t>14(g)(1</w:t>
      </w:r>
      <w:r w:rsidR="00353C90" w:rsidRPr="00431BA7">
        <w:rPr>
          <w:rFonts w:cstheme="minorHAnsi"/>
          <w:sz w:val="24"/>
          <w:szCs w:val="24"/>
        </w:rPr>
        <w:t xml:space="preserve">) </w:t>
      </w:r>
      <w:r w:rsidR="00C20929" w:rsidRPr="00431BA7">
        <w:rPr>
          <w:rFonts w:cstheme="minorHAnsi"/>
          <w:sz w:val="24"/>
          <w:szCs w:val="24"/>
        </w:rPr>
        <w:t xml:space="preserve">CBI claim </w:t>
      </w:r>
      <w:r w:rsidR="00353C90" w:rsidRPr="00431BA7">
        <w:rPr>
          <w:rFonts w:cstheme="minorHAnsi"/>
          <w:sz w:val="24"/>
          <w:szCs w:val="24"/>
        </w:rPr>
        <w:t>review</w:t>
      </w:r>
      <w:r w:rsidR="008835A3" w:rsidRPr="00431BA7">
        <w:rPr>
          <w:rFonts w:cstheme="minorHAnsi"/>
          <w:sz w:val="24"/>
          <w:szCs w:val="24"/>
        </w:rPr>
        <w:t xml:space="preserve"> take place</w:t>
      </w:r>
      <w:r w:rsidR="00C20929" w:rsidRPr="00431BA7">
        <w:rPr>
          <w:rFonts w:cstheme="minorHAnsi"/>
          <w:sz w:val="24"/>
          <w:szCs w:val="24"/>
        </w:rPr>
        <w:t xml:space="preserve"> “not later than 90 days after the receipt of a claim</w:t>
      </w:r>
      <w:r w:rsidR="00F30A3E" w:rsidRPr="00431BA7">
        <w:rPr>
          <w:rFonts w:cstheme="minorHAnsi"/>
          <w:sz w:val="24"/>
          <w:szCs w:val="24"/>
        </w:rPr>
        <w:t>.</w:t>
      </w:r>
      <w:r w:rsidR="00C20929" w:rsidRPr="00431BA7">
        <w:rPr>
          <w:rFonts w:cstheme="minorHAnsi"/>
          <w:sz w:val="24"/>
          <w:szCs w:val="24"/>
        </w:rPr>
        <w:t>”</w:t>
      </w:r>
      <w:r w:rsidR="0065320D" w:rsidRPr="00431BA7">
        <w:rPr>
          <w:rFonts w:cstheme="minorHAnsi"/>
          <w:sz w:val="24"/>
          <w:szCs w:val="24"/>
        </w:rPr>
        <w:t xml:space="preserve"> </w:t>
      </w:r>
      <w:r w:rsidR="00711AB3" w:rsidRPr="00431BA7">
        <w:rPr>
          <w:rFonts w:cstheme="minorHAnsi"/>
          <w:sz w:val="24"/>
          <w:szCs w:val="24"/>
        </w:rPr>
        <w:t>T</w:t>
      </w:r>
      <w:r w:rsidR="0065320D" w:rsidRPr="00431BA7">
        <w:rPr>
          <w:rFonts w:cstheme="minorHAnsi"/>
          <w:sz w:val="24"/>
          <w:szCs w:val="24"/>
        </w:rPr>
        <w:t xml:space="preserve">he substantiation exemption provision specifically </w:t>
      </w:r>
      <w:r w:rsidR="00402ED3" w:rsidRPr="00431BA7">
        <w:rPr>
          <w:rFonts w:cstheme="minorHAnsi"/>
          <w:sz w:val="24"/>
          <w:szCs w:val="24"/>
        </w:rPr>
        <w:t>states that the exemptions are “[s]</w:t>
      </w:r>
      <w:proofErr w:type="spellStart"/>
      <w:r w:rsidR="00402ED3" w:rsidRPr="00431BA7">
        <w:rPr>
          <w:rFonts w:cstheme="minorHAnsi"/>
          <w:sz w:val="24"/>
          <w:szCs w:val="24"/>
        </w:rPr>
        <w:t>ubject</w:t>
      </w:r>
      <w:proofErr w:type="spellEnd"/>
      <w:r w:rsidR="00402ED3" w:rsidRPr="00431BA7">
        <w:rPr>
          <w:rFonts w:cstheme="minorHAnsi"/>
          <w:sz w:val="24"/>
          <w:szCs w:val="24"/>
        </w:rPr>
        <w:t xml:space="preserve"> to subsection (f)” of section 14, and</w:t>
      </w:r>
      <w:r w:rsidR="001B6DF0" w:rsidRPr="00431BA7">
        <w:rPr>
          <w:rFonts w:cstheme="minorHAnsi"/>
          <w:sz w:val="24"/>
          <w:szCs w:val="24"/>
        </w:rPr>
        <w:t xml:space="preserve"> there is no mandatory trigger in TSCA section 14(f)(2)</w:t>
      </w:r>
      <w:r w:rsidR="00402ED3" w:rsidRPr="00431BA7">
        <w:rPr>
          <w:rFonts w:cstheme="minorHAnsi"/>
          <w:sz w:val="24"/>
          <w:szCs w:val="24"/>
        </w:rPr>
        <w:t xml:space="preserve"> </w:t>
      </w:r>
      <w:r w:rsidR="00F30A3E" w:rsidRPr="00431BA7">
        <w:rPr>
          <w:rFonts w:cstheme="minorHAnsi"/>
          <w:sz w:val="24"/>
          <w:szCs w:val="24"/>
        </w:rPr>
        <w:t xml:space="preserve">relating to </w:t>
      </w:r>
      <w:r w:rsidR="00402ED3" w:rsidRPr="00431BA7">
        <w:rPr>
          <w:rFonts w:cstheme="minorHAnsi"/>
          <w:sz w:val="24"/>
          <w:szCs w:val="24"/>
        </w:rPr>
        <w:t>distribution in commerce</w:t>
      </w:r>
      <w:r w:rsidR="001B6DF0" w:rsidRPr="00431BA7">
        <w:rPr>
          <w:rFonts w:cstheme="minorHAnsi"/>
          <w:sz w:val="24"/>
          <w:szCs w:val="24"/>
        </w:rPr>
        <w:t xml:space="preserve">. </w:t>
      </w:r>
      <w:r w:rsidR="006F3178" w:rsidRPr="00431BA7" w:rsidDel="00040F1D">
        <w:rPr>
          <w:rFonts w:cstheme="minorHAnsi"/>
          <w:sz w:val="24"/>
          <w:szCs w:val="24"/>
        </w:rPr>
        <w:t xml:space="preserve">Such earlier claims may be reviewed or re-reviewed, but not automatically—instead, they could be reviewed under either the mandatory or discretionary provisions of section 14(f).  </w:t>
      </w:r>
      <w:r w:rsidR="001B6DF0" w:rsidRPr="00431BA7">
        <w:rPr>
          <w:rFonts w:cstheme="minorHAnsi"/>
          <w:sz w:val="24"/>
          <w:szCs w:val="24"/>
        </w:rPr>
        <w:t>Additionally, i</w:t>
      </w:r>
      <w:r w:rsidR="00256309" w:rsidRPr="00431BA7">
        <w:rPr>
          <w:rFonts w:cstheme="minorHAnsi"/>
          <w:sz w:val="24"/>
          <w:szCs w:val="24"/>
        </w:rPr>
        <w:t>f a company submits a</w:t>
      </w:r>
      <w:r w:rsidR="008817C0" w:rsidRPr="00431BA7">
        <w:rPr>
          <w:rFonts w:cstheme="minorHAnsi"/>
          <w:sz w:val="24"/>
          <w:szCs w:val="24"/>
        </w:rPr>
        <w:t>n</w:t>
      </w:r>
      <w:r w:rsidR="00256309" w:rsidRPr="00431BA7">
        <w:rPr>
          <w:rFonts w:cstheme="minorHAnsi"/>
          <w:sz w:val="24"/>
          <w:szCs w:val="24"/>
        </w:rPr>
        <w:t xml:space="preserve"> NOC, any claim for chemical identity would have to be substantiated at that time. </w:t>
      </w:r>
      <w:r w:rsidR="0014582A" w:rsidRPr="00431BA7">
        <w:rPr>
          <w:rFonts w:cstheme="minorHAnsi"/>
          <w:sz w:val="24"/>
          <w:szCs w:val="24"/>
        </w:rPr>
        <w:t>Any such</w:t>
      </w:r>
      <w:r w:rsidR="006F3178" w:rsidRPr="00431BA7">
        <w:rPr>
          <w:rFonts w:cstheme="minorHAnsi"/>
          <w:sz w:val="24"/>
          <w:szCs w:val="24"/>
        </w:rPr>
        <w:t xml:space="preserve"> chemical identity claim</w:t>
      </w:r>
      <w:r w:rsidR="0014582A" w:rsidRPr="00431BA7">
        <w:rPr>
          <w:rFonts w:cstheme="minorHAnsi"/>
          <w:sz w:val="24"/>
          <w:szCs w:val="24"/>
        </w:rPr>
        <w:t>s</w:t>
      </w:r>
      <w:r w:rsidR="006F3178" w:rsidRPr="00431BA7">
        <w:rPr>
          <w:rFonts w:cstheme="minorHAnsi"/>
          <w:sz w:val="24"/>
          <w:szCs w:val="24"/>
        </w:rPr>
        <w:t xml:space="preserve"> </w:t>
      </w:r>
      <w:r w:rsidR="00D0695F" w:rsidRPr="00431BA7">
        <w:rPr>
          <w:rFonts w:cstheme="minorHAnsi"/>
          <w:sz w:val="24"/>
          <w:szCs w:val="24"/>
        </w:rPr>
        <w:t>would also be</w:t>
      </w:r>
      <w:r w:rsidR="006F3178" w:rsidRPr="00431BA7">
        <w:rPr>
          <w:rFonts w:cstheme="minorHAnsi"/>
          <w:sz w:val="24"/>
          <w:szCs w:val="24"/>
        </w:rPr>
        <w:t xml:space="preserve"> subject to mandatory CBI review under TSCA section 14(g)</w:t>
      </w:r>
      <w:r w:rsidR="00D0695F" w:rsidRPr="00431BA7">
        <w:rPr>
          <w:rFonts w:cstheme="minorHAnsi"/>
          <w:sz w:val="24"/>
          <w:szCs w:val="24"/>
        </w:rPr>
        <w:t>.</w:t>
      </w:r>
      <w:r w:rsidR="00660EE3" w:rsidRPr="00431BA7">
        <w:rPr>
          <w:rFonts w:cstheme="minorHAnsi"/>
          <w:sz w:val="24"/>
          <w:szCs w:val="24"/>
        </w:rPr>
        <w:t xml:space="preserve"> </w:t>
      </w:r>
      <w:r w:rsidR="006F3178" w:rsidRPr="00431BA7">
        <w:rPr>
          <w:rFonts w:cstheme="minorHAnsi"/>
          <w:sz w:val="24"/>
          <w:szCs w:val="24"/>
        </w:rPr>
        <w:t xml:space="preserve">NOCs are explicitly linked to their </w:t>
      </w:r>
      <w:r w:rsidR="00291B9C" w:rsidRPr="00431BA7">
        <w:rPr>
          <w:rFonts w:cstheme="minorHAnsi"/>
          <w:sz w:val="24"/>
          <w:szCs w:val="24"/>
        </w:rPr>
        <w:t xml:space="preserve">corresponding </w:t>
      </w:r>
      <w:r w:rsidR="006F3178" w:rsidRPr="00431BA7">
        <w:rPr>
          <w:rFonts w:cstheme="minorHAnsi"/>
          <w:sz w:val="24"/>
          <w:szCs w:val="24"/>
        </w:rPr>
        <w:t>PMNs</w:t>
      </w:r>
      <w:r w:rsidR="008817C0" w:rsidRPr="00431BA7">
        <w:rPr>
          <w:rFonts w:cstheme="minorHAnsi"/>
          <w:sz w:val="24"/>
          <w:szCs w:val="24"/>
        </w:rPr>
        <w:t xml:space="preserve"> by the PMN number</w:t>
      </w:r>
      <w:r w:rsidR="006F3178" w:rsidRPr="00431BA7">
        <w:rPr>
          <w:rFonts w:cstheme="minorHAnsi"/>
          <w:sz w:val="24"/>
          <w:szCs w:val="24"/>
        </w:rPr>
        <w:t>—if the CBI claim in the NOC is withdrawn or denied, the specific chemical identity in the NOC may be readily linked to the PMN chemical.</w:t>
      </w:r>
      <w:r w:rsidR="00040F1D" w:rsidRPr="00431BA7">
        <w:rPr>
          <w:rFonts w:cstheme="minorHAnsi"/>
          <w:sz w:val="24"/>
          <w:szCs w:val="24"/>
        </w:rPr>
        <w:t xml:space="preserve"> </w:t>
      </w:r>
    </w:p>
    <w:p w14:paraId="622C05AA" w14:textId="10D9820A" w:rsidR="00ED507C" w:rsidRPr="00431BA7" w:rsidRDefault="00ED507C" w:rsidP="000140FB">
      <w:pPr>
        <w:rPr>
          <w:rFonts w:cstheme="minorHAnsi"/>
          <w:sz w:val="24"/>
          <w:szCs w:val="24"/>
        </w:rPr>
      </w:pPr>
      <w:r w:rsidRPr="00431BA7">
        <w:rPr>
          <w:rFonts w:cstheme="minorHAnsi"/>
          <w:b/>
          <w:bCs/>
          <w:sz w:val="24"/>
          <w:szCs w:val="24"/>
        </w:rPr>
        <w:t xml:space="preserve">Comment: </w:t>
      </w:r>
      <w:r w:rsidRPr="00431BA7">
        <w:rPr>
          <w:rFonts w:cstheme="minorHAnsi"/>
          <w:sz w:val="24"/>
          <w:szCs w:val="24"/>
        </w:rPr>
        <w:t xml:space="preserve">One commenter criticized 40 CFR </w:t>
      </w:r>
      <w:r w:rsidRPr="00431BA7">
        <w:rPr>
          <w:sz w:val="24"/>
          <w:szCs w:val="24"/>
        </w:rPr>
        <w:t>703.5(b)(5)</w:t>
      </w:r>
      <w:r w:rsidR="00A97BEA" w:rsidRPr="00431BA7">
        <w:rPr>
          <w:sz w:val="24"/>
          <w:szCs w:val="24"/>
        </w:rPr>
        <w:t>(ii)</w:t>
      </w:r>
      <w:r w:rsidR="00641747" w:rsidRPr="00431BA7">
        <w:rPr>
          <w:sz w:val="24"/>
          <w:szCs w:val="24"/>
        </w:rPr>
        <w:t xml:space="preserve"> for paraphrasing and not directly quoting the statutory language in TSCA section 14(c)(2)(G), especially for omitting “if the specific chemical identity was claimed as confidential at the time it was submitted in a notice under section 5.”</w:t>
      </w:r>
    </w:p>
    <w:p w14:paraId="35252742" w14:textId="77777777" w:rsidR="00ED507C" w:rsidRPr="00431BA7" w:rsidRDefault="00ED507C" w:rsidP="00ED507C">
      <w:pPr>
        <w:rPr>
          <w:rFonts w:cstheme="minorHAnsi"/>
          <w:b/>
          <w:bCs/>
          <w:sz w:val="24"/>
          <w:szCs w:val="24"/>
        </w:rPr>
      </w:pPr>
      <w:r w:rsidRPr="00431BA7">
        <w:rPr>
          <w:rFonts w:cstheme="minorHAnsi"/>
          <w:sz w:val="24"/>
          <w:szCs w:val="24"/>
        </w:rPr>
        <w:t>Source: -0050</w:t>
      </w:r>
    </w:p>
    <w:p w14:paraId="5659EC7F" w14:textId="69852749" w:rsidR="00ED507C" w:rsidRPr="00431BA7" w:rsidRDefault="00ED507C" w:rsidP="00ED507C">
      <w:pPr>
        <w:rPr>
          <w:rFonts w:cstheme="minorHAnsi"/>
          <w:sz w:val="24"/>
          <w:szCs w:val="24"/>
        </w:rPr>
      </w:pPr>
      <w:r w:rsidRPr="00431BA7">
        <w:rPr>
          <w:rFonts w:cstheme="minorHAnsi"/>
          <w:b/>
          <w:bCs/>
          <w:sz w:val="24"/>
          <w:szCs w:val="24"/>
        </w:rPr>
        <w:lastRenderedPageBreak/>
        <w:t xml:space="preserve">Response:  </w:t>
      </w:r>
      <w:r w:rsidR="00641747" w:rsidRPr="00431BA7">
        <w:rPr>
          <w:rFonts w:cstheme="minorHAnsi"/>
          <w:sz w:val="24"/>
          <w:szCs w:val="24"/>
        </w:rPr>
        <w:t xml:space="preserve">EPA’s intent in including and discussing the application of the TSCA section 14(c)(2) exemptions in the rule </w:t>
      </w:r>
      <w:r w:rsidR="003B01C0" w:rsidRPr="00431BA7">
        <w:rPr>
          <w:rFonts w:cstheme="minorHAnsi"/>
          <w:sz w:val="24"/>
          <w:szCs w:val="24"/>
        </w:rPr>
        <w:t>i</w:t>
      </w:r>
      <w:r w:rsidR="00641747" w:rsidRPr="00431BA7">
        <w:rPr>
          <w:rFonts w:cstheme="minorHAnsi"/>
          <w:sz w:val="24"/>
          <w:szCs w:val="24"/>
        </w:rPr>
        <w:t xml:space="preserve">s to clarify EPA’s interpretation of how and when these exemptions may be </w:t>
      </w:r>
      <w:r w:rsidR="00A97BEA" w:rsidRPr="00431BA7">
        <w:rPr>
          <w:rFonts w:cstheme="minorHAnsi"/>
          <w:sz w:val="24"/>
          <w:szCs w:val="24"/>
        </w:rPr>
        <w:t xml:space="preserve">asserted and </w:t>
      </w:r>
      <w:r w:rsidR="00641747" w:rsidRPr="00431BA7">
        <w:rPr>
          <w:rFonts w:cstheme="minorHAnsi"/>
          <w:sz w:val="24"/>
          <w:szCs w:val="24"/>
        </w:rPr>
        <w:t xml:space="preserve">applied.  </w:t>
      </w:r>
      <w:r w:rsidR="003B01C0" w:rsidRPr="00431BA7">
        <w:rPr>
          <w:rFonts w:cstheme="minorHAnsi"/>
          <w:sz w:val="24"/>
          <w:szCs w:val="24"/>
        </w:rPr>
        <w:t xml:space="preserve">As indicated in 40 CFR </w:t>
      </w:r>
      <w:r w:rsidR="003B01C0" w:rsidRPr="00431BA7">
        <w:rPr>
          <w:sz w:val="24"/>
          <w:szCs w:val="24"/>
        </w:rPr>
        <w:t xml:space="preserve">703.5(b)(5)(ii), </w:t>
      </w:r>
      <w:r w:rsidR="00641747" w:rsidRPr="00431BA7">
        <w:rPr>
          <w:rFonts w:cstheme="minorHAnsi"/>
          <w:sz w:val="24"/>
          <w:szCs w:val="24"/>
        </w:rPr>
        <w:t xml:space="preserve">EPA interprets the section 14(c)(2)(G) exemption as </w:t>
      </w:r>
      <w:r w:rsidR="004851FF" w:rsidRPr="00431BA7">
        <w:rPr>
          <w:rFonts w:cstheme="minorHAnsi"/>
          <w:sz w:val="24"/>
          <w:szCs w:val="24"/>
        </w:rPr>
        <w:t xml:space="preserve">generally </w:t>
      </w:r>
      <w:r w:rsidR="00641747" w:rsidRPr="00431BA7">
        <w:rPr>
          <w:rFonts w:cstheme="minorHAnsi"/>
          <w:sz w:val="24"/>
          <w:szCs w:val="24"/>
        </w:rPr>
        <w:t>applying to any chemical identity claim made prior to the date on which the chemical is first offered for commercial distribution.  EPA further interprets the section 5 limitation</w:t>
      </w:r>
      <w:r w:rsidR="004851FF" w:rsidRPr="00431BA7">
        <w:rPr>
          <w:rFonts w:cstheme="minorHAnsi"/>
          <w:sz w:val="24"/>
          <w:szCs w:val="24"/>
        </w:rPr>
        <w:t xml:space="preserve"> mentioned</w:t>
      </w:r>
      <w:r w:rsidR="00641747" w:rsidRPr="00431BA7">
        <w:rPr>
          <w:rFonts w:cstheme="minorHAnsi"/>
          <w:sz w:val="24"/>
          <w:szCs w:val="24"/>
        </w:rPr>
        <w:t xml:space="preserve"> </w:t>
      </w:r>
      <w:r w:rsidR="004851FF" w:rsidRPr="00431BA7">
        <w:rPr>
          <w:rFonts w:cstheme="minorHAnsi"/>
          <w:sz w:val="24"/>
          <w:szCs w:val="24"/>
        </w:rPr>
        <w:t xml:space="preserve">in section 14(c)(2)(G) </w:t>
      </w:r>
      <w:r w:rsidR="00641747" w:rsidRPr="00431BA7">
        <w:rPr>
          <w:rFonts w:cstheme="minorHAnsi"/>
          <w:sz w:val="24"/>
          <w:szCs w:val="24"/>
        </w:rPr>
        <w:t xml:space="preserve">as only applying to </w:t>
      </w:r>
      <w:r w:rsidR="003B01C0" w:rsidRPr="00431BA7">
        <w:rPr>
          <w:rFonts w:cstheme="minorHAnsi"/>
          <w:sz w:val="24"/>
          <w:szCs w:val="24"/>
        </w:rPr>
        <w:t xml:space="preserve">CBI claims for </w:t>
      </w:r>
      <w:r w:rsidR="00641747" w:rsidRPr="00431BA7">
        <w:rPr>
          <w:rFonts w:cstheme="minorHAnsi"/>
          <w:sz w:val="24"/>
          <w:szCs w:val="24"/>
        </w:rPr>
        <w:t xml:space="preserve">chemicals that have </w:t>
      </w:r>
      <w:proofErr w:type="gramStart"/>
      <w:r w:rsidR="00641747" w:rsidRPr="00431BA7">
        <w:rPr>
          <w:rFonts w:cstheme="minorHAnsi"/>
          <w:sz w:val="24"/>
          <w:szCs w:val="24"/>
        </w:rPr>
        <w:t>actually been</w:t>
      </w:r>
      <w:proofErr w:type="gramEnd"/>
      <w:r w:rsidR="00641747" w:rsidRPr="00431BA7">
        <w:rPr>
          <w:rFonts w:cstheme="minorHAnsi"/>
          <w:sz w:val="24"/>
          <w:szCs w:val="24"/>
        </w:rPr>
        <w:t xml:space="preserve"> the subject of a section 5 notice.</w:t>
      </w:r>
      <w:r w:rsidR="007B3238" w:rsidRPr="00431BA7">
        <w:rPr>
          <w:rFonts w:cstheme="minorHAnsi"/>
          <w:sz w:val="24"/>
          <w:szCs w:val="24"/>
        </w:rPr>
        <w:t xml:space="preserve">  In other words, </w:t>
      </w:r>
      <w:proofErr w:type="gramStart"/>
      <w:r w:rsidR="007B3238" w:rsidRPr="00431BA7">
        <w:rPr>
          <w:rFonts w:cstheme="minorHAnsi"/>
          <w:sz w:val="24"/>
          <w:szCs w:val="24"/>
        </w:rPr>
        <w:t>in order for</w:t>
      </w:r>
      <w:proofErr w:type="gramEnd"/>
      <w:r w:rsidR="007B3238" w:rsidRPr="00431BA7">
        <w:rPr>
          <w:rFonts w:cstheme="minorHAnsi"/>
          <w:sz w:val="24"/>
          <w:szCs w:val="24"/>
        </w:rPr>
        <w:t xml:space="preserve"> a PMN, PMN amendment, or section 8(e) submission chemical identity CBI claim to be exempt from the substantiation requirement, the claim would need to </w:t>
      </w:r>
      <w:r w:rsidR="004851FF" w:rsidRPr="00431BA7">
        <w:rPr>
          <w:rFonts w:cstheme="minorHAnsi"/>
          <w:sz w:val="24"/>
          <w:szCs w:val="24"/>
        </w:rPr>
        <w:t xml:space="preserve">have </w:t>
      </w:r>
      <w:r w:rsidR="007B3238" w:rsidRPr="00431BA7">
        <w:rPr>
          <w:rFonts w:cstheme="minorHAnsi"/>
          <w:sz w:val="24"/>
          <w:szCs w:val="24"/>
        </w:rPr>
        <w:t>be</w:t>
      </w:r>
      <w:r w:rsidR="004851FF" w:rsidRPr="00431BA7">
        <w:rPr>
          <w:rFonts w:cstheme="minorHAnsi"/>
          <w:sz w:val="24"/>
          <w:szCs w:val="24"/>
        </w:rPr>
        <w:t>en</w:t>
      </w:r>
      <w:r w:rsidR="007B3238" w:rsidRPr="00431BA7">
        <w:rPr>
          <w:rFonts w:cstheme="minorHAnsi"/>
          <w:sz w:val="24"/>
          <w:szCs w:val="24"/>
        </w:rPr>
        <w:t xml:space="preserve"> asserted in any prior section 5 submission</w:t>
      </w:r>
      <w:r w:rsidR="004851FF" w:rsidRPr="00431BA7">
        <w:rPr>
          <w:rFonts w:cstheme="minorHAnsi"/>
          <w:sz w:val="24"/>
          <w:szCs w:val="24"/>
        </w:rPr>
        <w:t xml:space="preserve"> concerning that substance</w:t>
      </w:r>
      <w:r w:rsidR="007B3238" w:rsidRPr="00431BA7">
        <w:rPr>
          <w:rFonts w:cstheme="minorHAnsi"/>
          <w:sz w:val="24"/>
          <w:szCs w:val="24"/>
        </w:rPr>
        <w:t xml:space="preserve"> (which might be an LVE or PMN, for example).  This </w:t>
      </w:r>
      <w:r w:rsidR="00FE4BEF" w:rsidRPr="00431BA7">
        <w:rPr>
          <w:rFonts w:cstheme="minorHAnsi"/>
          <w:sz w:val="24"/>
          <w:szCs w:val="24"/>
        </w:rPr>
        <w:t>limitation</w:t>
      </w:r>
      <w:r w:rsidR="007B3238" w:rsidRPr="00431BA7">
        <w:rPr>
          <w:rFonts w:cstheme="minorHAnsi"/>
          <w:sz w:val="24"/>
          <w:szCs w:val="24"/>
        </w:rPr>
        <w:t xml:space="preserve"> is likely to do with </w:t>
      </w:r>
      <w:r w:rsidR="00FE4BEF" w:rsidRPr="00431BA7">
        <w:rPr>
          <w:rFonts w:cstheme="minorHAnsi"/>
          <w:sz w:val="24"/>
          <w:szCs w:val="24"/>
        </w:rPr>
        <w:t xml:space="preserve">consistency and assuring that the CBI claim is valid in the first place; </w:t>
      </w:r>
      <w:r w:rsidR="00552FDF" w:rsidRPr="00431BA7">
        <w:rPr>
          <w:rFonts w:cstheme="minorHAnsi"/>
          <w:sz w:val="24"/>
          <w:szCs w:val="24"/>
        </w:rPr>
        <w:t xml:space="preserve">TSCA requirements and routine EPA practice make non-confidential copies of section 5 submissions and/or information from such submissions available to the public such that </w:t>
      </w:r>
      <w:r w:rsidR="00A05986" w:rsidRPr="00431BA7">
        <w:rPr>
          <w:rFonts w:cstheme="minorHAnsi"/>
          <w:sz w:val="24"/>
          <w:szCs w:val="24"/>
        </w:rPr>
        <w:t>information, including specific chemical identity</w:t>
      </w:r>
      <w:r w:rsidR="004851FF" w:rsidRPr="00431BA7">
        <w:rPr>
          <w:rFonts w:cstheme="minorHAnsi"/>
          <w:sz w:val="24"/>
          <w:szCs w:val="24"/>
        </w:rPr>
        <w:t>,</w:t>
      </w:r>
      <w:r w:rsidR="00552FDF" w:rsidRPr="00431BA7">
        <w:rPr>
          <w:rFonts w:cstheme="minorHAnsi"/>
          <w:sz w:val="24"/>
          <w:szCs w:val="24"/>
        </w:rPr>
        <w:t xml:space="preserve"> that was not claimed as confidential in a section 5 submission would not actually be confidential</w:t>
      </w:r>
      <w:r w:rsidR="00FE4BEF" w:rsidRPr="00431BA7">
        <w:rPr>
          <w:rFonts w:cstheme="minorHAnsi"/>
          <w:sz w:val="24"/>
          <w:szCs w:val="24"/>
        </w:rPr>
        <w:t>.</w:t>
      </w:r>
      <w:r w:rsidR="004851FF" w:rsidRPr="00431BA7">
        <w:rPr>
          <w:rFonts w:cstheme="minorHAnsi"/>
          <w:sz w:val="24"/>
          <w:szCs w:val="24"/>
        </w:rPr>
        <w:t xml:space="preserve">  As such, subsequent CBI claims for the chemical identity would likely be invalid</w:t>
      </w:r>
      <w:r w:rsidR="00A97BEA" w:rsidRPr="00431BA7">
        <w:rPr>
          <w:rFonts w:cstheme="minorHAnsi"/>
          <w:sz w:val="24"/>
          <w:szCs w:val="24"/>
        </w:rPr>
        <w:t xml:space="preserve"> and substantiation exemptions would be inapplicable.</w:t>
      </w:r>
      <w:r w:rsidR="003B01C0" w:rsidRPr="00431BA7">
        <w:rPr>
          <w:rFonts w:cstheme="minorHAnsi"/>
          <w:sz w:val="24"/>
          <w:szCs w:val="24"/>
        </w:rPr>
        <w:t xml:space="preserve">  EPA does not believe it necessary to elaborate in 40 CFR 703.5(b)(5) on the basic requirement that information must </w:t>
      </w:r>
      <w:proofErr w:type="gramStart"/>
      <w:r w:rsidR="003B01C0" w:rsidRPr="00431BA7">
        <w:rPr>
          <w:rFonts w:cstheme="minorHAnsi"/>
          <w:sz w:val="24"/>
          <w:szCs w:val="24"/>
        </w:rPr>
        <w:t>actually be</w:t>
      </w:r>
      <w:proofErr w:type="gramEnd"/>
      <w:r w:rsidR="003B01C0" w:rsidRPr="00431BA7">
        <w:rPr>
          <w:rFonts w:cstheme="minorHAnsi"/>
          <w:sz w:val="24"/>
          <w:szCs w:val="24"/>
        </w:rPr>
        <w:t xml:space="preserve"> confidential in order for it to be claimed as CBI, let alone restate the obvious that substantiation exemptions only apply to valid CBI claims.  The TSCA section 14(c) statement </w:t>
      </w:r>
      <w:r w:rsidR="00B76AC8" w:rsidRPr="00431BA7">
        <w:rPr>
          <w:rFonts w:cstheme="minorHAnsi"/>
          <w:sz w:val="24"/>
          <w:szCs w:val="24"/>
        </w:rPr>
        <w:t xml:space="preserve">and certification </w:t>
      </w:r>
      <w:r w:rsidR="003B01C0" w:rsidRPr="00431BA7">
        <w:rPr>
          <w:rFonts w:cstheme="minorHAnsi"/>
          <w:sz w:val="24"/>
          <w:szCs w:val="24"/>
        </w:rPr>
        <w:t>requirement</w:t>
      </w:r>
      <w:r w:rsidR="00B76AC8" w:rsidRPr="00431BA7">
        <w:rPr>
          <w:rFonts w:cstheme="minorHAnsi"/>
          <w:sz w:val="24"/>
          <w:szCs w:val="24"/>
        </w:rPr>
        <w:t>s</w:t>
      </w:r>
      <w:r w:rsidR="003B01C0" w:rsidRPr="00431BA7">
        <w:rPr>
          <w:rFonts w:cstheme="minorHAnsi"/>
          <w:sz w:val="24"/>
          <w:szCs w:val="24"/>
        </w:rPr>
        <w:t xml:space="preserve"> (implemented in 40 CFR 703.5(a))</w:t>
      </w:r>
      <w:r w:rsidR="004851FF" w:rsidRPr="00431BA7">
        <w:rPr>
          <w:rFonts w:cstheme="minorHAnsi"/>
          <w:sz w:val="24"/>
          <w:szCs w:val="24"/>
        </w:rPr>
        <w:t xml:space="preserve"> </w:t>
      </w:r>
      <w:r w:rsidR="00B76AC8" w:rsidRPr="00431BA7">
        <w:rPr>
          <w:rFonts w:cstheme="minorHAnsi"/>
          <w:sz w:val="24"/>
          <w:szCs w:val="24"/>
        </w:rPr>
        <w:t>are</w:t>
      </w:r>
      <w:r w:rsidR="003B01C0" w:rsidRPr="00431BA7">
        <w:rPr>
          <w:rFonts w:cstheme="minorHAnsi"/>
          <w:sz w:val="24"/>
          <w:szCs w:val="24"/>
        </w:rPr>
        <w:t xml:space="preserve"> required for all CBI claims and </w:t>
      </w:r>
      <w:r w:rsidR="00B76AC8" w:rsidRPr="00431BA7">
        <w:rPr>
          <w:rFonts w:cstheme="minorHAnsi"/>
          <w:sz w:val="24"/>
          <w:szCs w:val="24"/>
        </w:rPr>
        <w:t xml:space="preserve">already adequately assure that the person asserting the claim believes the information is </w:t>
      </w:r>
      <w:proofErr w:type="gramStart"/>
      <w:r w:rsidR="00B76AC8" w:rsidRPr="00431BA7">
        <w:rPr>
          <w:rFonts w:cstheme="minorHAnsi"/>
          <w:sz w:val="24"/>
          <w:szCs w:val="24"/>
        </w:rPr>
        <w:t>actually confidential</w:t>
      </w:r>
      <w:proofErr w:type="gramEnd"/>
      <w:r w:rsidR="00B76AC8" w:rsidRPr="00431BA7">
        <w:rPr>
          <w:rFonts w:cstheme="minorHAnsi"/>
          <w:sz w:val="24"/>
          <w:szCs w:val="24"/>
        </w:rPr>
        <w:t xml:space="preserve"> and their claim is valid.</w:t>
      </w:r>
    </w:p>
    <w:p w14:paraId="79ED7580" w14:textId="0CAC26C2" w:rsidR="00687929" w:rsidRPr="00431BA7" w:rsidRDefault="00687929" w:rsidP="00687929">
      <w:pPr>
        <w:rPr>
          <w:rFonts w:cstheme="minorHAnsi"/>
          <w:sz w:val="24"/>
          <w:szCs w:val="24"/>
        </w:rPr>
      </w:pPr>
      <w:r w:rsidRPr="00431BA7">
        <w:rPr>
          <w:rFonts w:cstheme="minorHAnsi"/>
          <w:b/>
          <w:bCs/>
          <w:sz w:val="24"/>
          <w:szCs w:val="24"/>
        </w:rPr>
        <w:t xml:space="preserve">Comment: </w:t>
      </w:r>
      <w:r w:rsidR="007778E5" w:rsidRPr="00431BA7">
        <w:rPr>
          <w:rFonts w:cstheme="minorHAnsi"/>
          <w:sz w:val="24"/>
          <w:szCs w:val="24"/>
        </w:rPr>
        <w:t>One commenter</w:t>
      </w:r>
      <w:r w:rsidR="007778E5" w:rsidRPr="00431BA7">
        <w:rPr>
          <w:rFonts w:cstheme="minorHAnsi"/>
          <w:b/>
          <w:bCs/>
          <w:sz w:val="24"/>
          <w:szCs w:val="24"/>
        </w:rPr>
        <w:t xml:space="preserve"> </w:t>
      </w:r>
      <w:r w:rsidR="007778E5" w:rsidRPr="00431BA7">
        <w:rPr>
          <w:rFonts w:cstheme="minorHAnsi"/>
          <w:sz w:val="24"/>
          <w:szCs w:val="24"/>
        </w:rPr>
        <w:t xml:space="preserve">asserted that EPA’s knowledge of commerce status should control whether the </w:t>
      </w:r>
      <w:r w:rsidR="00122D7B" w:rsidRPr="00431BA7">
        <w:rPr>
          <w:rFonts w:cstheme="minorHAnsi"/>
          <w:sz w:val="24"/>
          <w:szCs w:val="24"/>
        </w:rPr>
        <w:t xml:space="preserve">TSCA section </w:t>
      </w:r>
      <w:r w:rsidR="007778E5" w:rsidRPr="00431BA7">
        <w:rPr>
          <w:rFonts w:cstheme="minorHAnsi"/>
          <w:sz w:val="24"/>
          <w:szCs w:val="24"/>
        </w:rPr>
        <w:t>14(c)(2)(G) exemption applies</w:t>
      </w:r>
      <w:r w:rsidR="00AE03F8" w:rsidRPr="00431BA7">
        <w:rPr>
          <w:rFonts w:cstheme="minorHAnsi"/>
          <w:sz w:val="24"/>
          <w:szCs w:val="24"/>
        </w:rPr>
        <w:t>.</w:t>
      </w:r>
      <w:r w:rsidR="00717458" w:rsidRPr="00431BA7">
        <w:rPr>
          <w:rFonts w:cstheme="minorHAnsi"/>
          <w:sz w:val="24"/>
          <w:szCs w:val="24"/>
        </w:rPr>
        <w:t xml:space="preserve">  Specifically, the commenter criticized the certification portion of the substantiation question at 40 C.F.R. § 703.5(b)(4)(i) “appears to rely on the claimant’s lack of knowledge of public information indicating a chemical is in commerce as sufficient to warrant an exemption under TSCA section 14(c)(2)(G).”</w:t>
      </w:r>
    </w:p>
    <w:p w14:paraId="6C2EBFF2" w14:textId="2A1356A2" w:rsidR="00AE03F8" w:rsidRPr="00431BA7" w:rsidRDefault="00AE03F8" w:rsidP="00687929">
      <w:pPr>
        <w:rPr>
          <w:rFonts w:cstheme="minorHAnsi"/>
          <w:b/>
          <w:bCs/>
          <w:sz w:val="24"/>
          <w:szCs w:val="24"/>
        </w:rPr>
      </w:pPr>
      <w:r w:rsidRPr="00431BA7">
        <w:rPr>
          <w:rFonts w:cstheme="minorHAnsi"/>
          <w:sz w:val="24"/>
          <w:szCs w:val="24"/>
        </w:rPr>
        <w:t>Source: -0050</w:t>
      </w:r>
    </w:p>
    <w:p w14:paraId="25C19840" w14:textId="62ED7136" w:rsidR="00687929" w:rsidRPr="00431BA7" w:rsidRDefault="00060C02" w:rsidP="00687929">
      <w:pPr>
        <w:rPr>
          <w:rFonts w:cstheme="minorHAnsi"/>
          <w:sz w:val="24"/>
          <w:szCs w:val="24"/>
        </w:rPr>
      </w:pPr>
      <w:r w:rsidRPr="00431BA7">
        <w:rPr>
          <w:rFonts w:cstheme="minorHAnsi"/>
          <w:b/>
          <w:bCs/>
          <w:sz w:val="24"/>
          <w:szCs w:val="24"/>
        </w:rPr>
        <w:t>Response</w:t>
      </w:r>
      <w:r w:rsidR="00687929" w:rsidRPr="00431BA7">
        <w:rPr>
          <w:rFonts w:cstheme="minorHAnsi"/>
          <w:b/>
          <w:bCs/>
          <w:sz w:val="24"/>
          <w:szCs w:val="24"/>
        </w:rPr>
        <w:t xml:space="preserve">:  </w:t>
      </w:r>
      <w:r w:rsidR="00E8529E" w:rsidRPr="00431BA7">
        <w:rPr>
          <w:rFonts w:cstheme="minorHAnsi"/>
          <w:sz w:val="24"/>
          <w:szCs w:val="24"/>
        </w:rPr>
        <w:t>The commenter misunderstands the certification included in the substantiation question at 40 C</w:t>
      </w:r>
      <w:r w:rsidR="00122D7B" w:rsidRPr="00431BA7">
        <w:rPr>
          <w:rFonts w:cstheme="minorHAnsi"/>
          <w:sz w:val="24"/>
          <w:szCs w:val="24"/>
        </w:rPr>
        <w:t>FR</w:t>
      </w:r>
      <w:r w:rsidR="00E8529E" w:rsidRPr="00431BA7">
        <w:rPr>
          <w:rFonts w:cstheme="minorHAnsi"/>
          <w:sz w:val="24"/>
          <w:szCs w:val="24"/>
        </w:rPr>
        <w:t xml:space="preserve"> 703.5(b)(4)(i)</w:t>
      </w:r>
      <w:r w:rsidR="007778E5" w:rsidRPr="00431BA7">
        <w:rPr>
          <w:rFonts w:cstheme="minorHAnsi"/>
          <w:sz w:val="24"/>
          <w:szCs w:val="24"/>
        </w:rPr>
        <w:t>.</w:t>
      </w:r>
      <w:r w:rsidR="00E8529E" w:rsidRPr="00431BA7">
        <w:rPr>
          <w:rFonts w:cstheme="minorHAnsi"/>
          <w:sz w:val="24"/>
          <w:szCs w:val="24"/>
        </w:rPr>
        <w:t xml:space="preserve">  The certification is meant to confirm the submitter has researched whether the chemical identity is </w:t>
      </w:r>
      <w:proofErr w:type="gramStart"/>
      <w:r w:rsidR="00E8529E" w:rsidRPr="00431BA7">
        <w:rPr>
          <w:rFonts w:cstheme="minorHAnsi"/>
          <w:sz w:val="24"/>
          <w:szCs w:val="24"/>
        </w:rPr>
        <w:t>actually secret</w:t>
      </w:r>
      <w:proofErr w:type="gramEnd"/>
      <w:r w:rsidR="00E8529E" w:rsidRPr="00431BA7">
        <w:rPr>
          <w:rFonts w:cstheme="minorHAnsi"/>
          <w:sz w:val="24"/>
          <w:szCs w:val="24"/>
        </w:rPr>
        <w:t xml:space="preserve"> and better assure the substantiation addresses public references to the chemical</w:t>
      </w:r>
      <w:r w:rsidR="00EF7FE4" w:rsidRPr="00431BA7">
        <w:rPr>
          <w:rFonts w:cstheme="minorHAnsi"/>
          <w:sz w:val="24"/>
          <w:szCs w:val="24"/>
        </w:rPr>
        <w:t xml:space="preserve"> identity</w:t>
      </w:r>
      <w:r w:rsidR="00E8529E" w:rsidRPr="00431BA7">
        <w:rPr>
          <w:rFonts w:cstheme="minorHAnsi"/>
          <w:sz w:val="24"/>
          <w:szCs w:val="24"/>
        </w:rPr>
        <w:t xml:space="preserve">, if any.  It has nothing to do with verifying </w:t>
      </w:r>
      <w:proofErr w:type="gramStart"/>
      <w:r w:rsidR="00E8529E" w:rsidRPr="00431BA7">
        <w:rPr>
          <w:rFonts w:cstheme="minorHAnsi"/>
          <w:sz w:val="24"/>
          <w:szCs w:val="24"/>
        </w:rPr>
        <w:t>whether or not</w:t>
      </w:r>
      <w:proofErr w:type="gramEnd"/>
      <w:r w:rsidR="00E8529E" w:rsidRPr="00431BA7">
        <w:rPr>
          <w:rFonts w:cstheme="minorHAnsi"/>
          <w:sz w:val="24"/>
          <w:szCs w:val="24"/>
        </w:rPr>
        <w:t xml:space="preserve"> the substantiation exemption at </w:t>
      </w:r>
      <w:r w:rsidR="00122D7B" w:rsidRPr="00431BA7">
        <w:rPr>
          <w:rFonts w:cstheme="minorHAnsi"/>
          <w:sz w:val="24"/>
          <w:szCs w:val="24"/>
        </w:rPr>
        <w:t xml:space="preserve">TSCA </w:t>
      </w:r>
      <w:r w:rsidR="00E8529E" w:rsidRPr="00431BA7">
        <w:rPr>
          <w:rFonts w:cstheme="minorHAnsi"/>
          <w:sz w:val="24"/>
          <w:szCs w:val="24"/>
        </w:rPr>
        <w:t>section 14(c)(2)(G) applies—indeed, if a submitter is answering this substantiation question, it is very likely because they are not asserting that section 14(c)(2)(G) applies.</w:t>
      </w:r>
      <w:r w:rsidR="007778E5" w:rsidRPr="00431BA7">
        <w:rPr>
          <w:rFonts w:cstheme="minorHAnsi"/>
          <w:sz w:val="24"/>
          <w:szCs w:val="24"/>
        </w:rPr>
        <w:t xml:space="preserve">  </w:t>
      </w:r>
    </w:p>
    <w:p w14:paraId="64984EA8" w14:textId="39EF21B9" w:rsidR="006F3178" w:rsidRPr="00431BA7" w:rsidRDefault="006F3178" w:rsidP="002C4D8C">
      <w:pPr>
        <w:pStyle w:val="Heading2"/>
        <w:numPr>
          <w:ilvl w:val="0"/>
          <w:numId w:val="0"/>
        </w:numPr>
        <w:ind w:left="360" w:hanging="360"/>
      </w:pPr>
      <w:bookmarkStart w:id="14" w:name="_Toc132901186"/>
      <w:r w:rsidRPr="00431BA7">
        <w:t xml:space="preserve">Unit </w:t>
      </w:r>
      <w:r w:rsidR="00E401BF" w:rsidRPr="00431BA7">
        <w:t>8</w:t>
      </w:r>
      <w:r w:rsidRPr="00431BA7">
        <w:t>: Public Copies (</w:t>
      </w:r>
      <w:r w:rsidR="00B6654E" w:rsidRPr="00431BA7">
        <w:t xml:space="preserve">40 CFR </w:t>
      </w:r>
      <w:r w:rsidRPr="00431BA7">
        <w:t>703.5(c))</w:t>
      </w:r>
      <w:bookmarkEnd w:id="14"/>
    </w:p>
    <w:p w14:paraId="55ED4AC7" w14:textId="72A33D85" w:rsidR="008E3C1B" w:rsidRPr="00431BA7" w:rsidRDefault="008E3C1B" w:rsidP="000140FB">
      <w:pPr>
        <w:rPr>
          <w:rFonts w:cstheme="minorHAnsi"/>
          <w:sz w:val="24"/>
          <w:szCs w:val="24"/>
        </w:rPr>
      </w:pPr>
      <w:r w:rsidRPr="00431BA7">
        <w:rPr>
          <w:rFonts w:cstheme="minorHAnsi"/>
          <w:b/>
          <w:bCs/>
          <w:sz w:val="24"/>
          <w:szCs w:val="24"/>
        </w:rPr>
        <w:t>Comment</w:t>
      </w:r>
      <w:r w:rsidRPr="00431BA7">
        <w:rPr>
          <w:rFonts w:cstheme="minorHAnsi"/>
          <w:sz w:val="24"/>
          <w:szCs w:val="24"/>
        </w:rPr>
        <w:t xml:space="preserve">: One commenter noted that the proposed rule did not elaborate on how public copies of individual submissions will be </w:t>
      </w:r>
      <w:r w:rsidR="00BE0C5B" w:rsidRPr="00431BA7">
        <w:rPr>
          <w:rFonts w:cstheme="minorHAnsi"/>
          <w:sz w:val="24"/>
          <w:szCs w:val="24"/>
        </w:rPr>
        <w:t>generated or made</w:t>
      </w:r>
      <w:r w:rsidRPr="00431BA7">
        <w:rPr>
          <w:rFonts w:cstheme="minorHAnsi"/>
          <w:sz w:val="24"/>
          <w:szCs w:val="24"/>
        </w:rPr>
        <w:t xml:space="preserve"> available, particularly where existing </w:t>
      </w:r>
      <w:r w:rsidRPr="00431BA7">
        <w:rPr>
          <w:rFonts w:cstheme="minorHAnsi"/>
          <w:sz w:val="24"/>
          <w:szCs w:val="24"/>
        </w:rPr>
        <w:lastRenderedPageBreak/>
        <w:t xml:space="preserve">regulations do not require that the submitter prepare public copies themselves.  They cited </w:t>
      </w:r>
      <w:r w:rsidR="00122D7B" w:rsidRPr="00431BA7">
        <w:rPr>
          <w:rFonts w:cstheme="minorHAnsi"/>
          <w:sz w:val="24"/>
          <w:szCs w:val="24"/>
        </w:rPr>
        <w:t xml:space="preserve">TSCA </w:t>
      </w:r>
      <w:r w:rsidRPr="00431BA7">
        <w:rPr>
          <w:rFonts w:cstheme="minorHAnsi"/>
          <w:sz w:val="24"/>
          <w:szCs w:val="24"/>
        </w:rPr>
        <w:t xml:space="preserve">section 5 </w:t>
      </w:r>
      <w:r w:rsidR="00122D7B" w:rsidRPr="00431BA7">
        <w:rPr>
          <w:rFonts w:cstheme="minorHAnsi"/>
          <w:sz w:val="24"/>
          <w:szCs w:val="24"/>
        </w:rPr>
        <w:t>N</w:t>
      </w:r>
      <w:r w:rsidRPr="00431BA7">
        <w:rPr>
          <w:rFonts w:cstheme="minorHAnsi"/>
          <w:sz w:val="24"/>
          <w:szCs w:val="24"/>
        </w:rPr>
        <w:t xml:space="preserve">otices of </w:t>
      </w:r>
      <w:r w:rsidR="00122D7B" w:rsidRPr="00431BA7">
        <w:rPr>
          <w:rFonts w:cstheme="minorHAnsi"/>
          <w:sz w:val="24"/>
          <w:szCs w:val="24"/>
        </w:rPr>
        <w:t>C</w:t>
      </w:r>
      <w:r w:rsidRPr="00431BA7">
        <w:rPr>
          <w:rFonts w:cstheme="minorHAnsi"/>
          <w:sz w:val="24"/>
          <w:szCs w:val="24"/>
        </w:rPr>
        <w:t>ommencement as one example of where this is the case.</w:t>
      </w:r>
    </w:p>
    <w:p w14:paraId="2A008069" w14:textId="51E22F9B" w:rsidR="00737B96" w:rsidRPr="00431BA7" w:rsidRDefault="00737B96" w:rsidP="000140FB">
      <w:pPr>
        <w:rPr>
          <w:rFonts w:cstheme="minorHAnsi"/>
          <w:sz w:val="24"/>
          <w:szCs w:val="24"/>
        </w:rPr>
      </w:pPr>
      <w:r w:rsidRPr="00431BA7">
        <w:rPr>
          <w:rFonts w:cstheme="minorHAnsi"/>
          <w:sz w:val="24"/>
          <w:szCs w:val="24"/>
        </w:rPr>
        <w:t>Source: -0050</w:t>
      </w:r>
    </w:p>
    <w:p w14:paraId="19C19619" w14:textId="1230182D" w:rsidR="00E515AE" w:rsidRPr="00431BA7" w:rsidRDefault="00060C02" w:rsidP="000140FB">
      <w:pPr>
        <w:rPr>
          <w:sz w:val="24"/>
          <w:szCs w:val="24"/>
        </w:rPr>
      </w:pPr>
      <w:r w:rsidRPr="00431BA7">
        <w:rPr>
          <w:b/>
          <w:bCs/>
          <w:sz w:val="24"/>
          <w:szCs w:val="24"/>
        </w:rPr>
        <w:t>Response</w:t>
      </w:r>
      <w:r w:rsidR="559D8288" w:rsidRPr="00431BA7">
        <w:rPr>
          <w:sz w:val="24"/>
          <w:szCs w:val="24"/>
        </w:rPr>
        <w:t xml:space="preserve">:  </w:t>
      </w:r>
      <w:r w:rsidR="00A81551" w:rsidRPr="00431BA7">
        <w:rPr>
          <w:sz w:val="24"/>
          <w:szCs w:val="24"/>
        </w:rPr>
        <w:t xml:space="preserve">EPA is finalizing the exemption at </w:t>
      </w:r>
      <w:r w:rsidR="00E50792" w:rsidRPr="00431BA7">
        <w:rPr>
          <w:sz w:val="24"/>
          <w:szCs w:val="24"/>
        </w:rPr>
        <w:t xml:space="preserve">40 CFR 703.5(c)(1) because </w:t>
      </w:r>
      <w:r w:rsidR="009C63CF" w:rsidRPr="00431BA7">
        <w:rPr>
          <w:sz w:val="24"/>
          <w:szCs w:val="24"/>
        </w:rPr>
        <w:t xml:space="preserve">where the electronic reporting tool includes a system for </w:t>
      </w:r>
      <w:r w:rsidR="003430F0" w:rsidRPr="00431BA7">
        <w:rPr>
          <w:sz w:val="24"/>
          <w:szCs w:val="24"/>
        </w:rPr>
        <w:t xml:space="preserve">designating with specificity the CBI claim, the electronic reporting tool </w:t>
      </w:r>
      <w:r w:rsidR="00115BCE" w:rsidRPr="00431BA7">
        <w:rPr>
          <w:sz w:val="24"/>
          <w:szCs w:val="24"/>
        </w:rPr>
        <w:t xml:space="preserve">can </w:t>
      </w:r>
      <w:r w:rsidR="003430F0" w:rsidRPr="00431BA7">
        <w:rPr>
          <w:sz w:val="24"/>
          <w:szCs w:val="24"/>
        </w:rPr>
        <w:t xml:space="preserve">automatically generate a public </w:t>
      </w:r>
      <w:r w:rsidR="007F328F" w:rsidRPr="00431BA7">
        <w:rPr>
          <w:sz w:val="24"/>
          <w:szCs w:val="24"/>
        </w:rPr>
        <w:t>version</w:t>
      </w:r>
      <w:r w:rsidR="00AA567D" w:rsidRPr="00431BA7">
        <w:rPr>
          <w:sz w:val="24"/>
          <w:szCs w:val="24"/>
        </w:rPr>
        <w:t xml:space="preserve"> [or “automatically designates data that is made available to the public.”]</w:t>
      </w:r>
      <w:r w:rsidR="003430F0" w:rsidRPr="00431BA7">
        <w:rPr>
          <w:sz w:val="24"/>
          <w:szCs w:val="24"/>
        </w:rPr>
        <w:t xml:space="preserve">. </w:t>
      </w:r>
      <w:r w:rsidR="007D7247" w:rsidRPr="00431BA7">
        <w:rPr>
          <w:sz w:val="24"/>
          <w:szCs w:val="24"/>
        </w:rPr>
        <w:t xml:space="preserve">EPA does not believe that any further clarification is necessary in the regulatory text. </w:t>
      </w:r>
    </w:p>
    <w:p w14:paraId="13C4C94D" w14:textId="5ED6F7F6" w:rsidR="00821A2A" w:rsidRPr="00431BA7" w:rsidRDefault="00E515AE" w:rsidP="000140FB">
      <w:pPr>
        <w:rPr>
          <w:sz w:val="24"/>
          <w:szCs w:val="24"/>
        </w:rPr>
      </w:pPr>
      <w:r w:rsidRPr="00431BA7">
        <w:rPr>
          <w:sz w:val="24"/>
          <w:szCs w:val="24"/>
        </w:rPr>
        <w:t xml:space="preserve">To further elaborate, </w:t>
      </w:r>
      <w:r w:rsidR="559D8288" w:rsidRPr="00431BA7">
        <w:rPr>
          <w:sz w:val="24"/>
          <w:szCs w:val="24"/>
        </w:rPr>
        <w:t xml:space="preserve">EPA acknowledges that </w:t>
      </w:r>
      <w:r w:rsidR="00AA567D" w:rsidRPr="00431BA7">
        <w:rPr>
          <w:sz w:val="24"/>
          <w:szCs w:val="24"/>
        </w:rPr>
        <w:t xml:space="preserve">some of </w:t>
      </w:r>
      <w:r w:rsidR="559D8288" w:rsidRPr="00431BA7">
        <w:rPr>
          <w:sz w:val="24"/>
          <w:szCs w:val="24"/>
        </w:rPr>
        <w:t xml:space="preserve">its TSCA reporting applications do not </w:t>
      </w:r>
      <w:r w:rsidR="007F328F" w:rsidRPr="00431BA7">
        <w:rPr>
          <w:sz w:val="24"/>
          <w:szCs w:val="24"/>
        </w:rPr>
        <w:t>presently generate</w:t>
      </w:r>
      <w:r w:rsidR="559D8288" w:rsidRPr="00431BA7">
        <w:rPr>
          <w:sz w:val="24"/>
          <w:szCs w:val="24"/>
        </w:rPr>
        <w:t xml:space="preserve"> </w:t>
      </w:r>
      <w:r w:rsidR="007F328F" w:rsidRPr="00431BA7">
        <w:rPr>
          <w:sz w:val="24"/>
          <w:szCs w:val="24"/>
        </w:rPr>
        <w:t xml:space="preserve">a </w:t>
      </w:r>
      <w:r w:rsidR="559D8288" w:rsidRPr="00431BA7">
        <w:rPr>
          <w:sz w:val="24"/>
          <w:szCs w:val="24"/>
        </w:rPr>
        <w:t>public copy</w:t>
      </w:r>
      <w:r w:rsidR="00AA567D" w:rsidRPr="00431BA7">
        <w:rPr>
          <w:sz w:val="24"/>
          <w:szCs w:val="24"/>
        </w:rPr>
        <w:t xml:space="preserve"> that </w:t>
      </w:r>
      <w:r w:rsidR="007F328F" w:rsidRPr="00431BA7">
        <w:rPr>
          <w:sz w:val="24"/>
          <w:szCs w:val="24"/>
        </w:rPr>
        <w:t xml:space="preserve">renders the data </w:t>
      </w:r>
      <w:proofErr w:type="gramStart"/>
      <w:r w:rsidR="007F328F" w:rsidRPr="00431BA7">
        <w:rPr>
          <w:sz w:val="24"/>
          <w:szCs w:val="24"/>
        </w:rPr>
        <w:t>entered into</w:t>
      </w:r>
      <w:proofErr w:type="gramEnd"/>
      <w:r w:rsidR="007F328F" w:rsidRPr="00431BA7">
        <w:rPr>
          <w:sz w:val="24"/>
          <w:szCs w:val="24"/>
        </w:rPr>
        <w:t xml:space="preserve"> the reporting tools</w:t>
      </w:r>
      <w:r w:rsidR="00AA567D" w:rsidRPr="00431BA7">
        <w:rPr>
          <w:sz w:val="24"/>
          <w:szCs w:val="24"/>
        </w:rPr>
        <w:t xml:space="preserve"> </w:t>
      </w:r>
      <w:r w:rsidR="007F328F" w:rsidRPr="00431BA7">
        <w:rPr>
          <w:sz w:val="24"/>
          <w:szCs w:val="24"/>
        </w:rPr>
        <w:t xml:space="preserve">into a </w:t>
      </w:r>
      <w:r w:rsidR="00AA567D" w:rsidRPr="00431BA7">
        <w:rPr>
          <w:sz w:val="24"/>
          <w:szCs w:val="24"/>
        </w:rPr>
        <w:t xml:space="preserve">.pdf format </w:t>
      </w:r>
      <w:r w:rsidR="007F328F" w:rsidRPr="00431BA7">
        <w:rPr>
          <w:sz w:val="24"/>
          <w:szCs w:val="24"/>
        </w:rPr>
        <w:t xml:space="preserve">or form </w:t>
      </w:r>
      <w:r w:rsidR="00AA567D" w:rsidRPr="00431BA7">
        <w:rPr>
          <w:sz w:val="24"/>
          <w:szCs w:val="24"/>
        </w:rPr>
        <w:t>resembling paper forms used in the past</w:t>
      </w:r>
      <w:r w:rsidR="559D8288" w:rsidRPr="00431BA7">
        <w:rPr>
          <w:sz w:val="24"/>
          <w:szCs w:val="24"/>
        </w:rPr>
        <w:t xml:space="preserve">.  The PMN reporting application does this for PMNs, but the CDR application does not, for example.  </w:t>
      </w:r>
    </w:p>
    <w:p w14:paraId="65A3D2E5" w14:textId="63B011FE" w:rsidR="00B2613C" w:rsidRPr="00431BA7" w:rsidRDefault="00F430F6" w:rsidP="000140FB">
      <w:pPr>
        <w:rPr>
          <w:sz w:val="24"/>
          <w:szCs w:val="24"/>
        </w:rPr>
      </w:pPr>
      <w:r w:rsidRPr="00431BA7">
        <w:rPr>
          <w:sz w:val="24"/>
          <w:szCs w:val="24"/>
        </w:rPr>
        <w:t xml:space="preserve">Although not addressed in the final rule, EPA </w:t>
      </w:r>
      <w:r w:rsidR="00AA567D" w:rsidRPr="00431BA7">
        <w:rPr>
          <w:sz w:val="24"/>
          <w:szCs w:val="24"/>
        </w:rPr>
        <w:t xml:space="preserve">has and </w:t>
      </w:r>
      <w:r w:rsidRPr="00431BA7">
        <w:rPr>
          <w:sz w:val="24"/>
          <w:szCs w:val="24"/>
        </w:rPr>
        <w:t xml:space="preserve">intends to </w:t>
      </w:r>
      <w:r w:rsidR="00AA567D" w:rsidRPr="00431BA7">
        <w:rPr>
          <w:sz w:val="24"/>
          <w:szCs w:val="24"/>
        </w:rPr>
        <w:t xml:space="preserve">continue </w:t>
      </w:r>
      <w:r w:rsidR="00215F44" w:rsidRPr="00431BA7">
        <w:rPr>
          <w:sz w:val="24"/>
          <w:szCs w:val="24"/>
        </w:rPr>
        <w:t>to increase</w:t>
      </w:r>
      <w:r w:rsidR="00AA567D" w:rsidRPr="00431BA7">
        <w:rPr>
          <w:sz w:val="24"/>
          <w:szCs w:val="24"/>
        </w:rPr>
        <w:t xml:space="preserve"> the automatic publication of public versions of TSCA submissions in ChemView shortly after submission</w:t>
      </w:r>
      <w:r w:rsidRPr="00431BA7">
        <w:rPr>
          <w:sz w:val="24"/>
          <w:szCs w:val="24"/>
        </w:rPr>
        <w:t xml:space="preserve">. Where public copies are required to be generated and submitted by the submitter, EPA aims to make them publicly available as soon as practicable to increase transparency but has not elaborated on this in the final rule. </w:t>
      </w:r>
      <w:r w:rsidR="000B6A2A" w:rsidRPr="00431BA7">
        <w:rPr>
          <w:sz w:val="24"/>
          <w:szCs w:val="24"/>
        </w:rPr>
        <w:t xml:space="preserve"> See related discussion in Unit 24 of this document.</w:t>
      </w:r>
    </w:p>
    <w:p w14:paraId="1037298C" w14:textId="74AF2AE4" w:rsidR="006366D7" w:rsidRPr="00431BA7" w:rsidRDefault="00B2613C" w:rsidP="000140FB">
      <w:pPr>
        <w:rPr>
          <w:sz w:val="24"/>
          <w:szCs w:val="24"/>
        </w:rPr>
      </w:pPr>
      <w:r w:rsidRPr="00431BA7">
        <w:rPr>
          <w:sz w:val="24"/>
          <w:szCs w:val="24"/>
        </w:rPr>
        <w:t>In the case of some submissions, however, EPA does not intend at this time to make available public copies of individual submissions</w:t>
      </w:r>
      <w:r w:rsidR="007F328F" w:rsidRPr="00431BA7">
        <w:rPr>
          <w:sz w:val="24"/>
          <w:szCs w:val="24"/>
        </w:rPr>
        <w:t xml:space="preserve"> rendered as a single form</w:t>
      </w:r>
      <w:r w:rsidRPr="00431BA7">
        <w:rPr>
          <w:sz w:val="24"/>
          <w:szCs w:val="24"/>
        </w:rPr>
        <w:t xml:space="preserve">.  </w:t>
      </w:r>
      <w:r w:rsidR="559D8288" w:rsidRPr="00431BA7">
        <w:rPr>
          <w:sz w:val="24"/>
          <w:szCs w:val="24"/>
        </w:rPr>
        <w:t>There are</w:t>
      </w:r>
      <w:r w:rsidR="00215F44" w:rsidRPr="00431BA7">
        <w:rPr>
          <w:sz w:val="24"/>
          <w:szCs w:val="24"/>
        </w:rPr>
        <w:t xml:space="preserve"> </w:t>
      </w:r>
      <w:r w:rsidR="559D8288" w:rsidRPr="00431BA7">
        <w:rPr>
          <w:sz w:val="24"/>
          <w:szCs w:val="24"/>
        </w:rPr>
        <w:t xml:space="preserve">two reasons for this.  In the case of CDR, EPA has for several years used individual CDR reports to generate nationwide statistics on chemical production, including aggregated production volumes for each substance.  Confidential individual site production volumes are protected from disclosure by EPA’s practice of masking these individual volumes by using aggregates and ranges.  If </w:t>
      </w:r>
      <w:r w:rsidR="007F328F" w:rsidRPr="00431BA7">
        <w:rPr>
          <w:sz w:val="24"/>
          <w:szCs w:val="24"/>
        </w:rPr>
        <w:t xml:space="preserve">complete </w:t>
      </w:r>
      <w:r w:rsidR="559D8288" w:rsidRPr="00431BA7">
        <w:rPr>
          <w:sz w:val="24"/>
          <w:szCs w:val="24"/>
        </w:rPr>
        <w:t xml:space="preserve">individual site reports were </w:t>
      </w:r>
      <w:r w:rsidR="007F328F" w:rsidRPr="00431BA7">
        <w:rPr>
          <w:sz w:val="24"/>
          <w:szCs w:val="24"/>
        </w:rPr>
        <w:t>published</w:t>
      </w:r>
      <w:r w:rsidR="559D8288" w:rsidRPr="00431BA7">
        <w:rPr>
          <w:sz w:val="24"/>
          <w:szCs w:val="24"/>
        </w:rPr>
        <w:t xml:space="preserve">, the non-confidential volumes </w:t>
      </w:r>
      <w:r w:rsidR="007F328F" w:rsidRPr="00431BA7">
        <w:rPr>
          <w:sz w:val="24"/>
          <w:szCs w:val="24"/>
        </w:rPr>
        <w:t xml:space="preserve">in one site report </w:t>
      </w:r>
      <w:r w:rsidR="559D8288" w:rsidRPr="00431BA7">
        <w:rPr>
          <w:sz w:val="24"/>
          <w:szCs w:val="24"/>
        </w:rPr>
        <w:t>could in some cases be used to calculate the confidential volumes</w:t>
      </w:r>
      <w:r w:rsidR="007F328F" w:rsidRPr="00431BA7">
        <w:rPr>
          <w:sz w:val="24"/>
          <w:szCs w:val="24"/>
        </w:rPr>
        <w:t xml:space="preserve"> in another site report</w:t>
      </w:r>
      <w:r w:rsidR="559D8288" w:rsidRPr="00431BA7">
        <w:rPr>
          <w:sz w:val="24"/>
          <w:szCs w:val="24"/>
        </w:rPr>
        <w:t xml:space="preserve">, for example.  EPA could consider changing its practice of producing </w:t>
      </w:r>
      <w:r w:rsidR="002E5421" w:rsidRPr="00431BA7">
        <w:rPr>
          <w:sz w:val="24"/>
          <w:szCs w:val="24"/>
        </w:rPr>
        <w:t xml:space="preserve">aggregated statistics in </w:t>
      </w:r>
      <w:r w:rsidR="559D8288" w:rsidRPr="00431BA7">
        <w:rPr>
          <w:sz w:val="24"/>
          <w:szCs w:val="24"/>
        </w:rPr>
        <w:t xml:space="preserve">the national report and database in favor of </w:t>
      </w:r>
      <w:r w:rsidR="002E5421" w:rsidRPr="00431BA7">
        <w:rPr>
          <w:sz w:val="24"/>
          <w:szCs w:val="24"/>
        </w:rPr>
        <w:t xml:space="preserve">publishing </w:t>
      </w:r>
      <w:r w:rsidR="559D8288" w:rsidRPr="00431BA7">
        <w:rPr>
          <w:sz w:val="24"/>
          <w:szCs w:val="24"/>
        </w:rPr>
        <w:t xml:space="preserve">individual site reports (with CBI data redacted), but this consideration would be best undertaken in the course of rulemaking to update the CDR rule, which occurs periodically.  </w:t>
      </w:r>
    </w:p>
    <w:p w14:paraId="049B1AF1" w14:textId="36152A16" w:rsidR="006366D7" w:rsidRPr="00431BA7" w:rsidRDefault="559D8288" w:rsidP="00751014">
      <w:pPr>
        <w:rPr>
          <w:sz w:val="24"/>
          <w:szCs w:val="24"/>
        </w:rPr>
      </w:pPr>
      <w:r w:rsidRPr="00431BA7">
        <w:rPr>
          <w:sz w:val="24"/>
          <w:szCs w:val="24"/>
        </w:rPr>
        <w:t xml:space="preserve">The other primary reason that EPA has not routinely made computer-generated public or sanitized copies available for all submission types is that </w:t>
      </w:r>
      <w:r w:rsidR="003950A7" w:rsidRPr="00431BA7">
        <w:rPr>
          <w:sz w:val="24"/>
          <w:szCs w:val="24"/>
        </w:rPr>
        <w:t>much of the data is typically made available in another source or format, such as with section 5 Notices of Commencement—much of the public data in those submissions are made available in section 5(d)(2) notices</w:t>
      </w:r>
      <w:r w:rsidR="1D168A45" w:rsidRPr="00431BA7">
        <w:rPr>
          <w:sz w:val="24"/>
          <w:szCs w:val="24"/>
        </w:rPr>
        <w:t xml:space="preserve"> and on EPA’s website</w:t>
      </w:r>
      <w:r w:rsidR="003950A7" w:rsidRPr="00431BA7">
        <w:rPr>
          <w:sz w:val="24"/>
          <w:szCs w:val="24"/>
        </w:rPr>
        <w:t xml:space="preserve">.  </w:t>
      </w:r>
      <w:r w:rsidR="00CE1833" w:rsidRPr="00431BA7">
        <w:rPr>
          <w:sz w:val="24"/>
          <w:szCs w:val="24"/>
        </w:rPr>
        <w:t xml:space="preserve"> </w:t>
      </w:r>
    </w:p>
    <w:p w14:paraId="0C962423" w14:textId="286FE7A3" w:rsidR="008E3C1B" w:rsidRPr="00431BA7" w:rsidRDefault="00CE1833" w:rsidP="000140FB">
      <w:pPr>
        <w:rPr>
          <w:sz w:val="24"/>
          <w:szCs w:val="24"/>
        </w:rPr>
      </w:pPr>
      <w:r w:rsidRPr="00431BA7">
        <w:rPr>
          <w:sz w:val="24"/>
          <w:szCs w:val="24"/>
        </w:rPr>
        <w:t xml:space="preserve">EPA intends to continue focusing on making health and safety data and information available in accordance first with statutory requirements and as demand and resources permit.  </w:t>
      </w:r>
      <w:r w:rsidR="00AB1EA9" w:rsidRPr="00431BA7">
        <w:rPr>
          <w:sz w:val="24"/>
          <w:szCs w:val="24"/>
        </w:rPr>
        <w:t>For</w:t>
      </w:r>
      <w:r w:rsidRPr="00431BA7">
        <w:rPr>
          <w:sz w:val="24"/>
          <w:szCs w:val="24"/>
        </w:rPr>
        <w:t xml:space="preserve"> </w:t>
      </w:r>
      <w:r w:rsidRPr="00431BA7">
        <w:rPr>
          <w:sz w:val="24"/>
          <w:szCs w:val="24"/>
        </w:rPr>
        <w:lastRenderedPageBreak/>
        <w:t>example, new chemical (section 5) submissions are now available to the public within days of submission</w:t>
      </w:r>
      <w:r w:rsidR="00AB1EA9" w:rsidRPr="00431BA7">
        <w:rPr>
          <w:sz w:val="24"/>
          <w:szCs w:val="24"/>
        </w:rPr>
        <w:t xml:space="preserve"> and section 8(</w:t>
      </w:r>
      <w:r w:rsidR="0517AA37" w:rsidRPr="00431BA7">
        <w:rPr>
          <w:sz w:val="24"/>
          <w:szCs w:val="24"/>
        </w:rPr>
        <w:t>e</w:t>
      </w:r>
      <w:r w:rsidR="00AB1EA9" w:rsidRPr="00431BA7">
        <w:rPr>
          <w:sz w:val="24"/>
          <w:szCs w:val="24"/>
        </w:rPr>
        <w:t>) submissions are now routinely pos</w:t>
      </w:r>
      <w:r w:rsidR="52E4DD00" w:rsidRPr="00431BA7">
        <w:rPr>
          <w:sz w:val="24"/>
          <w:szCs w:val="24"/>
        </w:rPr>
        <w:t>t</w:t>
      </w:r>
      <w:r w:rsidR="00AB1EA9" w:rsidRPr="00431BA7">
        <w:rPr>
          <w:sz w:val="24"/>
          <w:szCs w:val="24"/>
        </w:rPr>
        <w:t>ed in ChemView</w:t>
      </w:r>
      <w:r w:rsidRPr="00431BA7">
        <w:rPr>
          <w:sz w:val="24"/>
          <w:szCs w:val="24"/>
        </w:rPr>
        <w:t>.</w:t>
      </w:r>
    </w:p>
    <w:p w14:paraId="46555852" w14:textId="15BC06CA" w:rsidR="00D15555" w:rsidRPr="00431BA7" w:rsidRDefault="00D15555" w:rsidP="000140FB">
      <w:pPr>
        <w:rPr>
          <w:rFonts w:cstheme="minorHAnsi"/>
          <w:sz w:val="24"/>
          <w:szCs w:val="24"/>
        </w:rPr>
      </w:pPr>
      <w:r w:rsidRPr="00431BA7">
        <w:rPr>
          <w:rFonts w:cstheme="minorHAnsi"/>
          <w:b/>
          <w:bCs/>
          <w:sz w:val="24"/>
          <w:szCs w:val="24"/>
        </w:rPr>
        <w:t>Comment:</w:t>
      </w:r>
      <w:r w:rsidRPr="00431BA7">
        <w:rPr>
          <w:rFonts w:cstheme="minorHAnsi"/>
          <w:sz w:val="24"/>
          <w:szCs w:val="24"/>
        </w:rPr>
        <w:t xml:space="preserve"> A couple of comments expressed support for the proposed requirements for public copies, one agreeing </w:t>
      </w:r>
      <w:proofErr w:type="gramStart"/>
      <w:r w:rsidRPr="00431BA7">
        <w:rPr>
          <w:rFonts w:cstheme="minorHAnsi"/>
          <w:sz w:val="24"/>
          <w:szCs w:val="24"/>
        </w:rPr>
        <w:t>in particular that</w:t>
      </w:r>
      <w:proofErr w:type="gramEnd"/>
      <w:r w:rsidRPr="00431BA7">
        <w:rPr>
          <w:rFonts w:cstheme="minorHAnsi"/>
          <w:sz w:val="24"/>
          <w:szCs w:val="24"/>
        </w:rPr>
        <w:t xml:space="preserve"> SDSs include health and safety information so should include limited CBI claims, though both expressed skepticism that EPA could make public copies of TSCA submissions available more quickly than 15 or even 45 days.</w:t>
      </w:r>
    </w:p>
    <w:p w14:paraId="695D3851" w14:textId="4A520EE1" w:rsidR="00737B96" w:rsidRPr="00431BA7" w:rsidRDefault="00737B96" w:rsidP="000140FB">
      <w:pPr>
        <w:rPr>
          <w:rFonts w:cstheme="minorHAnsi"/>
          <w:sz w:val="24"/>
          <w:szCs w:val="24"/>
        </w:rPr>
      </w:pPr>
      <w:r w:rsidRPr="00431BA7">
        <w:rPr>
          <w:rFonts w:cstheme="minorHAnsi"/>
          <w:sz w:val="24"/>
          <w:szCs w:val="24"/>
        </w:rPr>
        <w:t>Source: -0053; -0040</w:t>
      </w:r>
    </w:p>
    <w:p w14:paraId="2FBA9303" w14:textId="3E3E134A" w:rsidR="006831B3" w:rsidRPr="00431BA7" w:rsidRDefault="00060C02" w:rsidP="006831B3">
      <w:pPr>
        <w:rPr>
          <w:rFonts w:cstheme="minorHAnsi"/>
          <w:sz w:val="24"/>
          <w:szCs w:val="24"/>
        </w:rPr>
      </w:pPr>
      <w:r w:rsidRPr="00431BA7">
        <w:rPr>
          <w:rFonts w:cstheme="minorHAnsi"/>
          <w:b/>
          <w:bCs/>
          <w:sz w:val="24"/>
          <w:szCs w:val="24"/>
        </w:rPr>
        <w:t>Response</w:t>
      </w:r>
      <w:r w:rsidR="0039478C" w:rsidRPr="00431BA7">
        <w:rPr>
          <w:rFonts w:cstheme="minorHAnsi"/>
          <w:b/>
          <w:bCs/>
          <w:sz w:val="24"/>
          <w:szCs w:val="24"/>
        </w:rPr>
        <w:t>:</w:t>
      </w:r>
      <w:r w:rsidR="0039478C" w:rsidRPr="00431BA7">
        <w:rPr>
          <w:rFonts w:cstheme="minorHAnsi"/>
          <w:b/>
          <w:bCs/>
          <w:i/>
          <w:iCs/>
          <w:sz w:val="24"/>
          <w:szCs w:val="24"/>
        </w:rPr>
        <w:t xml:space="preserve"> </w:t>
      </w:r>
      <w:r w:rsidR="006831B3" w:rsidRPr="00431BA7">
        <w:rPr>
          <w:rFonts w:cstheme="minorHAnsi"/>
          <w:b/>
          <w:bCs/>
          <w:sz w:val="24"/>
          <w:szCs w:val="24"/>
        </w:rPr>
        <w:t xml:space="preserve"> </w:t>
      </w:r>
      <w:r w:rsidR="00D15555" w:rsidRPr="00431BA7">
        <w:rPr>
          <w:rFonts w:cstheme="minorHAnsi"/>
          <w:sz w:val="24"/>
          <w:szCs w:val="24"/>
        </w:rPr>
        <w:t xml:space="preserve">EPA appreciates this comment but notes that EPA is already making sanitized copies of many submissions available within a few days of receipt, most notably section 5 submissions.  Public copies are becoming or are expected to become rapidly available in ChemView for several other submission types </w:t>
      </w:r>
      <w:proofErr w:type="gramStart"/>
      <w:r w:rsidR="00D15555" w:rsidRPr="00431BA7">
        <w:rPr>
          <w:rFonts w:cstheme="minorHAnsi"/>
          <w:sz w:val="24"/>
          <w:szCs w:val="24"/>
        </w:rPr>
        <w:t>in the near future</w:t>
      </w:r>
      <w:proofErr w:type="gramEnd"/>
      <w:r w:rsidR="00D15555" w:rsidRPr="00431BA7">
        <w:rPr>
          <w:rFonts w:cstheme="minorHAnsi"/>
          <w:sz w:val="24"/>
          <w:szCs w:val="24"/>
        </w:rPr>
        <w:t xml:space="preserve"> (e.g., section 8(e) and 8(d) submissions, NOC data, etc.)</w:t>
      </w:r>
      <w:r w:rsidR="00D15555" w:rsidRPr="00431BA7">
        <w:rPr>
          <w:rFonts w:cstheme="minorHAnsi"/>
          <w:b/>
          <w:bCs/>
          <w:sz w:val="24"/>
          <w:szCs w:val="24"/>
        </w:rPr>
        <w:t xml:space="preserve"> </w:t>
      </w:r>
    </w:p>
    <w:p w14:paraId="2CFEED93" w14:textId="57075174" w:rsidR="006F3178" w:rsidRPr="00431BA7" w:rsidRDefault="006F3178" w:rsidP="002C4D8C">
      <w:pPr>
        <w:pStyle w:val="Heading2"/>
        <w:numPr>
          <w:ilvl w:val="0"/>
          <w:numId w:val="0"/>
        </w:numPr>
        <w:ind w:left="360" w:hanging="360"/>
      </w:pPr>
      <w:bookmarkStart w:id="15" w:name="_Toc132901187"/>
      <w:r w:rsidRPr="00431BA7">
        <w:t xml:space="preserve">Unit </w:t>
      </w:r>
      <w:r w:rsidR="00E401BF" w:rsidRPr="00431BA7">
        <w:t>9</w:t>
      </w:r>
      <w:r w:rsidRPr="00431BA7">
        <w:t>: Generic Names (</w:t>
      </w:r>
      <w:r w:rsidR="00B6654E" w:rsidRPr="00431BA7">
        <w:t xml:space="preserve">40 CFR </w:t>
      </w:r>
      <w:r w:rsidRPr="00431BA7">
        <w:t>703.5(d))</w:t>
      </w:r>
      <w:bookmarkEnd w:id="15"/>
    </w:p>
    <w:p w14:paraId="3FC8A332" w14:textId="3B88C846" w:rsidR="00C25FB6" w:rsidRPr="00431BA7" w:rsidRDefault="00C25FB6" w:rsidP="000140FB">
      <w:pPr>
        <w:rPr>
          <w:rFonts w:cstheme="minorHAnsi"/>
          <w:sz w:val="24"/>
          <w:szCs w:val="24"/>
        </w:rPr>
      </w:pPr>
      <w:r w:rsidRPr="00431BA7">
        <w:rPr>
          <w:rFonts w:cstheme="minorHAnsi"/>
          <w:b/>
          <w:bCs/>
          <w:sz w:val="24"/>
          <w:szCs w:val="24"/>
        </w:rPr>
        <w:t>Comment</w:t>
      </w:r>
      <w:r w:rsidRPr="00431BA7">
        <w:rPr>
          <w:rFonts w:cstheme="minorHAnsi"/>
          <w:sz w:val="24"/>
          <w:szCs w:val="24"/>
        </w:rPr>
        <w:t xml:space="preserve">: Some commenters questioned the differences between the generic name provisions in </w:t>
      </w:r>
      <w:r w:rsidR="00122D7B" w:rsidRPr="00431BA7">
        <w:rPr>
          <w:rFonts w:cstheme="minorHAnsi"/>
          <w:sz w:val="24"/>
          <w:szCs w:val="24"/>
        </w:rPr>
        <w:t xml:space="preserve">40 CFR </w:t>
      </w:r>
      <w:r w:rsidR="000F2A12" w:rsidRPr="00431BA7">
        <w:rPr>
          <w:rFonts w:cstheme="minorHAnsi"/>
          <w:sz w:val="24"/>
          <w:szCs w:val="24"/>
        </w:rPr>
        <w:t xml:space="preserve"> </w:t>
      </w:r>
      <w:r w:rsidRPr="00431BA7">
        <w:rPr>
          <w:rFonts w:cstheme="minorHAnsi"/>
          <w:sz w:val="24"/>
          <w:szCs w:val="24"/>
        </w:rPr>
        <w:t>703 (applicable to any TSCA submission) and the provisions in amendments to part 720 (applicable to section 5 Notices of Commencement only).</w:t>
      </w:r>
    </w:p>
    <w:p w14:paraId="07312288" w14:textId="755307C7" w:rsidR="00E169AC" w:rsidRPr="00431BA7" w:rsidRDefault="00E169AC" w:rsidP="000140FB">
      <w:pPr>
        <w:rPr>
          <w:rFonts w:cstheme="minorHAnsi"/>
          <w:sz w:val="24"/>
          <w:szCs w:val="24"/>
        </w:rPr>
      </w:pPr>
      <w:r w:rsidRPr="00431BA7">
        <w:rPr>
          <w:rFonts w:cstheme="minorHAnsi"/>
          <w:sz w:val="24"/>
          <w:szCs w:val="24"/>
        </w:rPr>
        <w:t>Source: -0050; -0051</w:t>
      </w:r>
    </w:p>
    <w:p w14:paraId="23C91A35" w14:textId="594CC579" w:rsidR="00C25FB6" w:rsidRPr="00431BA7" w:rsidRDefault="00060C02" w:rsidP="000140FB">
      <w:pPr>
        <w:rPr>
          <w:rFonts w:cstheme="minorHAnsi"/>
          <w:sz w:val="24"/>
          <w:szCs w:val="24"/>
        </w:rPr>
      </w:pPr>
      <w:r w:rsidRPr="00431BA7">
        <w:rPr>
          <w:rFonts w:cstheme="minorHAnsi"/>
          <w:b/>
          <w:bCs/>
          <w:sz w:val="24"/>
          <w:szCs w:val="24"/>
        </w:rPr>
        <w:t>Response</w:t>
      </w:r>
      <w:r w:rsidR="00C25FB6" w:rsidRPr="00431BA7">
        <w:rPr>
          <w:rFonts w:cstheme="minorHAnsi"/>
          <w:sz w:val="24"/>
          <w:szCs w:val="24"/>
        </w:rPr>
        <w:t xml:space="preserve">: EPA acknowledges that there are some differences between the handling of generic names in general and for </w:t>
      </w:r>
      <w:r w:rsidR="00122D7B" w:rsidRPr="00431BA7">
        <w:rPr>
          <w:rFonts w:cstheme="minorHAnsi"/>
          <w:sz w:val="24"/>
          <w:szCs w:val="24"/>
        </w:rPr>
        <w:t>Notices of Commencement (</w:t>
      </w:r>
      <w:r w:rsidR="00C25FB6" w:rsidRPr="00431BA7">
        <w:rPr>
          <w:rFonts w:cstheme="minorHAnsi"/>
          <w:sz w:val="24"/>
          <w:szCs w:val="24"/>
        </w:rPr>
        <w:t>NOCs</w:t>
      </w:r>
      <w:r w:rsidR="00122D7B" w:rsidRPr="00431BA7">
        <w:rPr>
          <w:rFonts w:cstheme="minorHAnsi"/>
          <w:sz w:val="24"/>
          <w:szCs w:val="24"/>
        </w:rPr>
        <w:t>)</w:t>
      </w:r>
      <w:r w:rsidR="00C25FB6" w:rsidRPr="00431BA7">
        <w:rPr>
          <w:rFonts w:cstheme="minorHAnsi"/>
          <w:sz w:val="24"/>
          <w:szCs w:val="24"/>
        </w:rPr>
        <w:t xml:space="preserve"> in particular.  This difference is due in large part to the historic purpose of including a generic name with an NOC.  The generic name submitted with an NOC is, if determined acceptable by EPA,</w:t>
      </w:r>
      <w:r w:rsidR="003F06A2" w:rsidRPr="00431BA7">
        <w:rPr>
          <w:rFonts w:cstheme="minorHAnsi"/>
          <w:sz w:val="24"/>
          <w:szCs w:val="24"/>
        </w:rPr>
        <w:t xml:space="preserve"> </w:t>
      </w:r>
      <w:r w:rsidR="00C25FB6" w:rsidRPr="00431BA7">
        <w:rPr>
          <w:rFonts w:cstheme="minorHAnsi"/>
          <w:sz w:val="24"/>
          <w:szCs w:val="24"/>
        </w:rPr>
        <w:t>one of a handful of public identifiers used for chemical substances that are on the confidential portion of the Inventory.  Before any chemical is placed on the TSCA Inventory, EPA must ascertain that it is specifically identified as required by</w:t>
      </w:r>
      <w:r w:rsidR="00122D7B" w:rsidRPr="00431BA7">
        <w:rPr>
          <w:rFonts w:cstheme="minorHAnsi"/>
          <w:sz w:val="24"/>
          <w:szCs w:val="24"/>
        </w:rPr>
        <w:t xml:space="preserve"> TSCA</w:t>
      </w:r>
      <w:r w:rsidR="00C25FB6" w:rsidRPr="00431BA7">
        <w:rPr>
          <w:rFonts w:cstheme="minorHAnsi"/>
          <w:sz w:val="24"/>
          <w:szCs w:val="24"/>
        </w:rPr>
        <w:t xml:space="preserve"> section 8(b) and its implementing regulations.  Since early in the assembly and implementation of the original Inventory rules, substances protected from disclosure on the public </w:t>
      </w:r>
      <w:r w:rsidR="00CD54C6" w:rsidRPr="00431BA7">
        <w:rPr>
          <w:rFonts w:cstheme="minorHAnsi"/>
          <w:sz w:val="24"/>
          <w:szCs w:val="24"/>
        </w:rPr>
        <w:t>I</w:t>
      </w:r>
      <w:r w:rsidR="00C25FB6" w:rsidRPr="00431BA7">
        <w:rPr>
          <w:rFonts w:cstheme="minorHAnsi"/>
          <w:sz w:val="24"/>
          <w:szCs w:val="24"/>
        </w:rPr>
        <w:t>nventory have been identified instead by a specific accession number and generic name.  Part of the approval process for placing a substance on the Inventory is assuring that it is identified as specifically as possible, and that any generic name used in lieu of a specific name is only so generic as is necessary to protect the claimed confidential features</w:t>
      </w:r>
      <w:r w:rsidR="00B106CF" w:rsidRPr="00431BA7">
        <w:rPr>
          <w:rFonts w:cstheme="minorHAnsi"/>
          <w:sz w:val="24"/>
          <w:szCs w:val="24"/>
        </w:rPr>
        <w:t xml:space="preserve"> of the molecule.  </w:t>
      </w:r>
      <w:r w:rsidR="00C74C9C" w:rsidRPr="00431BA7">
        <w:rPr>
          <w:rFonts w:cstheme="minorHAnsi"/>
          <w:sz w:val="24"/>
          <w:szCs w:val="24"/>
        </w:rPr>
        <w:t xml:space="preserve">While generic names are carefully reviewed in PMNs, alongside the specific name (and PMNs may be and are rejected for poor generic names), this review takes place early in premanufacture </w:t>
      </w:r>
      <w:proofErr w:type="gramStart"/>
      <w:r w:rsidR="00C74C9C" w:rsidRPr="00431BA7">
        <w:rPr>
          <w:rFonts w:cstheme="minorHAnsi"/>
          <w:sz w:val="24"/>
          <w:szCs w:val="24"/>
        </w:rPr>
        <w:t>review, before</w:t>
      </w:r>
      <w:proofErr w:type="gramEnd"/>
      <w:r w:rsidR="00C74C9C" w:rsidRPr="00431BA7">
        <w:rPr>
          <w:rFonts w:cstheme="minorHAnsi"/>
          <w:sz w:val="24"/>
          <w:szCs w:val="24"/>
        </w:rPr>
        <w:t xml:space="preserve"> EPA has th</w:t>
      </w:r>
      <w:r w:rsidR="000E1736" w:rsidRPr="00431BA7">
        <w:rPr>
          <w:rFonts w:cstheme="minorHAnsi"/>
          <w:sz w:val="24"/>
          <w:szCs w:val="24"/>
        </w:rPr>
        <w:t>o</w:t>
      </w:r>
      <w:r w:rsidR="00C74C9C" w:rsidRPr="00431BA7">
        <w:rPr>
          <w:rFonts w:cstheme="minorHAnsi"/>
          <w:sz w:val="24"/>
          <w:szCs w:val="24"/>
        </w:rPr>
        <w:t xml:space="preserve">roughly analyzed the PMN or made conclusions such as which parts of the molecule are most toxicologically relevant or which parts would be likely to cause competitive harm if disclosed.  </w:t>
      </w:r>
      <w:r w:rsidR="007A2764" w:rsidRPr="00431BA7">
        <w:rPr>
          <w:rFonts w:cstheme="minorHAnsi"/>
          <w:sz w:val="24"/>
          <w:szCs w:val="24"/>
        </w:rPr>
        <w:t>Prior to submission of an NOC and initiation of chemical identity CBI review under section 14(g), TSCA does not specify at what point EPA must determine compliance with the section 14(c) requirements to assert a CBI claim for chemical identity</w:t>
      </w:r>
      <w:r w:rsidR="00F36B19" w:rsidRPr="00431BA7">
        <w:rPr>
          <w:rFonts w:cstheme="minorHAnsi"/>
          <w:sz w:val="24"/>
          <w:szCs w:val="24"/>
        </w:rPr>
        <w:t>. S</w:t>
      </w:r>
      <w:r w:rsidR="007A2764" w:rsidRPr="00431BA7">
        <w:rPr>
          <w:rFonts w:cstheme="minorHAnsi"/>
          <w:sz w:val="24"/>
          <w:szCs w:val="24"/>
        </w:rPr>
        <w:t xml:space="preserve">ince </w:t>
      </w:r>
      <w:r w:rsidR="000E1736" w:rsidRPr="00431BA7">
        <w:rPr>
          <w:rFonts w:cstheme="minorHAnsi"/>
          <w:sz w:val="24"/>
          <w:szCs w:val="24"/>
        </w:rPr>
        <w:t xml:space="preserve">information pertinent to determining whether the generic name is </w:t>
      </w:r>
      <w:r w:rsidR="000E1736" w:rsidRPr="00431BA7">
        <w:rPr>
          <w:rFonts w:cstheme="minorHAnsi"/>
          <w:sz w:val="24"/>
          <w:szCs w:val="24"/>
        </w:rPr>
        <w:lastRenderedPageBreak/>
        <w:t>adequate may not be fully available until NOC,</w:t>
      </w:r>
      <w:r w:rsidR="007A2764" w:rsidRPr="00431BA7">
        <w:rPr>
          <w:rFonts w:cstheme="minorHAnsi"/>
          <w:sz w:val="24"/>
          <w:szCs w:val="24"/>
        </w:rPr>
        <w:t xml:space="preserve"> EPA typically defers making any final CBI determination based on an inadequate generic name until a full CBI review occurs under 14(g), when the NOC is received.  </w:t>
      </w:r>
      <w:r w:rsidR="00B106CF" w:rsidRPr="00431BA7">
        <w:rPr>
          <w:rFonts w:cstheme="minorHAnsi"/>
          <w:sz w:val="24"/>
          <w:szCs w:val="24"/>
        </w:rPr>
        <w:t>The CBI procedures rule would preserve existing procedures and considerations for processing NOCs, including a streamlined version of the current process for negotiating disputed generic names.  Chemical names—specific and generic—are meant to be relatively permanent once agreed, and since any feature that is not claimed as CBI will be revealed on the Inventory, EPA believes that some room should be left for reasonable technical debate over which features are necessary and appropriate to either conceal or disclose.</w:t>
      </w:r>
    </w:p>
    <w:p w14:paraId="50F5F6AD" w14:textId="59102EFF" w:rsidR="00B106CF" w:rsidRPr="00431BA7" w:rsidRDefault="00B106CF" w:rsidP="000140FB">
      <w:pPr>
        <w:rPr>
          <w:rFonts w:cstheme="minorHAnsi"/>
          <w:sz w:val="24"/>
          <w:szCs w:val="24"/>
        </w:rPr>
      </w:pPr>
      <w:r w:rsidRPr="00431BA7">
        <w:rPr>
          <w:rFonts w:cstheme="minorHAnsi"/>
          <w:sz w:val="24"/>
          <w:szCs w:val="24"/>
        </w:rPr>
        <w:t>Once a generic name that is acceptable for purposes of Inventory listing is in use, there should be less need to further negotiate that name</w:t>
      </w:r>
      <w:r w:rsidR="00CD7E98" w:rsidRPr="00431BA7">
        <w:rPr>
          <w:rFonts w:cstheme="minorHAnsi"/>
          <w:sz w:val="24"/>
          <w:szCs w:val="24"/>
        </w:rPr>
        <w:t xml:space="preserve"> (though the rule does leave room for modification of Inventory generic names over time, such as to update older generic names that do not meet the newer 14(c) requirements)</w:t>
      </w:r>
      <w:r w:rsidRPr="00431BA7">
        <w:rPr>
          <w:rFonts w:cstheme="minorHAnsi"/>
          <w:sz w:val="24"/>
          <w:szCs w:val="24"/>
        </w:rPr>
        <w:t xml:space="preserve">.  And for submissions concerning substances that are not or not yet on the Inventory (e.g., R&amp;D substances, PMN substances, substances included in section 5 exemption applications), it is less vital that the generic name meet Inventory requirements </w:t>
      </w:r>
      <w:r w:rsidR="00CD7E98" w:rsidRPr="00431BA7">
        <w:rPr>
          <w:rFonts w:cstheme="minorHAnsi"/>
          <w:sz w:val="24"/>
          <w:szCs w:val="24"/>
        </w:rPr>
        <w:t xml:space="preserve">(a listing of relevance to any person involved or prospectively involved with the substance) </w:t>
      </w:r>
      <w:r w:rsidRPr="00431BA7">
        <w:rPr>
          <w:rFonts w:cstheme="minorHAnsi"/>
          <w:sz w:val="24"/>
          <w:szCs w:val="24"/>
        </w:rPr>
        <w:t>and it need only meet section 14(c) requirements as applied to that submission</w:t>
      </w:r>
      <w:r w:rsidR="00CD7E98" w:rsidRPr="00431BA7">
        <w:rPr>
          <w:rFonts w:cstheme="minorHAnsi"/>
          <w:sz w:val="24"/>
          <w:szCs w:val="24"/>
        </w:rPr>
        <w:t xml:space="preserve"> (relevant only to the individual submitter).</w:t>
      </w:r>
    </w:p>
    <w:p w14:paraId="6F91B67A" w14:textId="47CF624D" w:rsidR="0057571E" w:rsidRPr="00431BA7" w:rsidRDefault="0057571E" w:rsidP="000140FB">
      <w:pPr>
        <w:rPr>
          <w:rFonts w:cstheme="minorHAnsi"/>
          <w:sz w:val="24"/>
          <w:szCs w:val="24"/>
        </w:rPr>
      </w:pPr>
      <w:r w:rsidRPr="00431BA7">
        <w:rPr>
          <w:rFonts w:cstheme="minorHAnsi"/>
          <w:b/>
          <w:bCs/>
          <w:sz w:val="24"/>
          <w:szCs w:val="24"/>
        </w:rPr>
        <w:t>Comment</w:t>
      </w:r>
      <w:r w:rsidRPr="00431BA7">
        <w:rPr>
          <w:rFonts w:cstheme="minorHAnsi"/>
          <w:sz w:val="24"/>
          <w:szCs w:val="24"/>
        </w:rPr>
        <w:t xml:space="preserve">: EPA received a few comments concerning application of the generic name policy, especially the “presumption” that only one structural element should be masked.  One commenter advocated that every generic name submitted should have to demonstrate the competitive harm suffered by masking more than one structural element, while another was opposed to including this presumption (from the generic name guidance) in the rule. </w:t>
      </w:r>
    </w:p>
    <w:p w14:paraId="79FAF185" w14:textId="04B84A99" w:rsidR="00E169AC" w:rsidRPr="00431BA7" w:rsidRDefault="00E169AC" w:rsidP="000140FB">
      <w:pPr>
        <w:rPr>
          <w:rFonts w:cstheme="minorHAnsi"/>
          <w:sz w:val="24"/>
          <w:szCs w:val="24"/>
        </w:rPr>
      </w:pPr>
      <w:r w:rsidRPr="00431BA7">
        <w:rPr>
          <w:rFonts w:cstheme="minorHAnsi"/>
          <w:sz w:val="24"/>
          <w:szCs w:val="24"/>
        </w:rPr>
        <w:t>Source: -0050; -0046</w:t>
      </w:r>
    </w:p>
    <w:p w14:paraId="10734EE1" w14:textId="7098A728" w:rsidR="0057571E" w:rsidRPr="00431BA7" w:rsidRDefault="00060C02" w:rsidP="000140FB">
      <w:pPr>
        <w:rPr>
          <w:rFonts w:cstheme="minorHAnsi"/>
          <w:sz w:val="24"/>
          <w:szCs w:val="24"/>
        </w:rPr>
      </w:pPr>
      <w:r w:rsidRPr="00431BA7">
        <w:rPr>
          <w:rFonts w:cstheme="minorHAnsi"/>
          <w:b/>
          <w:bCs/>
          <w:sz w:val="24"/>
          <w:szCs w:val="24"/>
        </w:rPr>
        <w:t>Response</w:t>
      </w:r>
      <w:r w:rsidR="0057571E" w:rsidRPr="00431BA7">
        <w:rPr>
          <w:rFonts w:cstheme="minorHAnsi"/>
          <w:sz w:val="24"/>
          <w:szCs w:val="24"/>
        </w:rPr>
        <w:t xml:space="preserve">:  EPA notes that reviewing all generic names for compliance with the requirements of section 14(c) goes considerably further than </w:t>
      </w:r>
      <w:r w:rsidR="000B6D57" w:rsidRPr="00431BA7">
        <w:rPr>
          <w:rFonts w:cstheme="minorHAnsi"/>
          <w:sz w:val="24"/>
          <w:szCs w:val="24"/>
        </w:rPr>
        <w:t xml:space="preserve">what </w:t>
      </w:r>
      <w:r w:rsidR="00122D7B" w:rsidRPr="00431BA7">
        <w:rPr>
          <w:rFonts w:cstheme="minorHAnsi"/>
          <w:sz w:val="24"/>
          <w:szCs w:val="24"/>
        </w:rPr>
        <w:t xml:space="preserve">TSCA </w:t>
      </w:r>
      <w:r w:rsidR="0057571E" w:rsidRPr="00431BA7">
        <w:rPr>
          <w:rFonts w:cstheme="minorHAnsi"/>
          <w:sz w:val="24"/>
          <w:szCs w:val="24"/>
        </w:rPr>
        <w:t xml:space="preserve">section 14 requires for review under section 14(g).  Section 14(c)(2)(G) exempts pre-market chemical identity claims from substantiation, and section 14(g) exempts the same claims from </w:t>
      </w:r>
      <w:r w:rsidR="00E1158A" w:rsidRPr="00431BA7">
        <w:rPr>
          <w:rFonts w:cstheme="minorHAnsi"/>
          <w:sz w:val="24"/>
          <w:szCs w:val="24"/>
        </w:rPr>
        <w:t xml:space="preserve">CBI </w:t>
      </w:r>
      <w:r w:rsidR="0057571E" w:rsidRPr="00431BA7">
        <w:rPr>
          <w:rFonts w:cstheme="minorHAnsi"/>
          <w:sz w:val="24"/>
          <w:szCs w:val="24"/>
        </w:rPr>
        <w:t>review under that section.</w:t>
      </w:r>
      <w:r w:rsidR="00E1158A" w:rsidRPr="00431BA7">
        <w:rPr>
          <w:rFonts w:cstheme="minorHAnsi"/>
          <w:sz w:val="24"/>
          <w:szCs w:val="24"/>
        </w:rPr>
        <w:t xml:space="preserve">  Considering the volume of section 5 and section 8(e) submissions concerning pre-market chemicals, this would represent a sizable increase in technical CBI review burden for EPA, examining and negotiating over generic names for chemicals that are not and may never be commercialized.  In addition, undertaking a review of whether inclusion of a structural element would cause competitive harm is essentially a substantive review of the CBI claim—requiring substantiation when </w:t>
      </w:r>
      <w:r w:rsidR="00122D7B" w:rsidRPr="00431BA7">
        <w:rPr>
          <w:rFonts w:cstheme="minorHAnsi"/>
          <w:sz w:val="24"/>
          <w:szCs w:val="24"/>
        </w:rPr>
        <w:t xml:space="preserve">section </w:t>
      </w:r>
      <w:r w:rsidR="00E1158A" w:rsidRPr="00431BA7">
        <w:rPr>
          <w:rFonts w:cstheme="minorHAnsi"/>
          <w:sz w:val="24"/>
          <w:szCs w:val="24"/>
        </w:rPr>
        <w:t xml:space="preserve">14(c)(2)(G) exempts it and review when </w:t>
      </w:r>
      <w:r w:rsidR="00122D7B" w:rsidRPr="00431BA7">
        <w:rPr>
          <w:rFonts w:cstheme="minorHAnsi"/>
          <w:sz w:val="24"/>
          <w:szCs w:val="24"/>
        </w:rPr>
        <w:t xml:space="preserve">section </w:t>
      </w:r>
      <w:r w:rsidR="00E1158A" w:rsidRPr="00431BA7">
        <w:rPr>
          <w:rFonts w:cstheme="minorHAnsi"/>
          <w:sz w:val="24"/>
          <w:szCs w:val="24"/>
        </w:rPr>
        <w:t>14(g) excludes it.  On the other hand, where such substantiation is required and review is required, pursuant to section 14(g), EPA believes that incorporating some elements of the guidance into the rule is useful and appropriate</w:t>
      </w:r>
      <w:r w:rsidR="007A1A13" w:rsidRPr="00431BA7">
        <w:rPr>
          <w:rFonts w:cstheme="minorHAnsi"/>
          <w:sz w:val="24"/>
          <w:szCs w:val="24"/>
        </w:rPr>
        <w:t xml:space="preserve">, and will </w:t>
      </w:r>
      <w:r w:rsidR="002E33CB" w:rsidRPr="00431BA7">
        <w:rPr>
          <w:rFonts w:cstheme="minorHAnsi"/>
          <w:sz w:val="24"/>
          <w:szCs w:val="24"/>
        </w:rPr>
        <w:t>aid compliance with guidance that, while intended as guidance with all the flexibility that usually implies, is nonetheless incorporated into the statute as a procedural requirement</w:t>
      </w:r>
      <w:r w:rsidR="00E1158A" w:rsidRPr="00431BA7">
        <w:rPr>
          <w:rFonts w:cstheme="minorHAnsi"/>
          <w:sz w:val="24"/>
          <w:szCs w:val="24"/>
        </w:rPr>
        <w:t xml:space="preserve">.  </w:t>
      </w:r>
    </w:p>
    <w:p w14:paraId="4055171F" w14:textId="1266795F" w:rsidR="00E6138B" w:rsidRPr="00431BA7" w:rsidRDefault="00E6138B" w:rsidP="000140FB">
      <w:pPr>
        <w:rPr>
          <w:rFonts w:cstheme="minorHAnsi"/>
          <w:sz w:val="24"/>
          <w:szCs w:val="24"/>
        </w:rPr>
      </w:pPr>
      <w:r w:rsidRPr="00431BA7">
        <w:rPr>
          <w:rFonts w:cstheme="minorHAnsi"/>
          <w:b/>
          <w:bCs/>
          <w:sz w:val="24"/>
          <w:szCs w:val="24"/>
        </w:rPr>
        <w:lastRenderedPageBreak/>
        <w:t>Comment</w:t>
      </w:r>
      <w:r w:rsidRPr="00431BA7">
        <w:rPr>
          <w:rFonts w:cstheme="minorHAnsi"/>
          <w:sz w:val="24"/>
          <w:szCs w:val="24"/>
        </w:rPr>
        <w:t>: One comment suggested that EPA should review generic names at the time of initial submission of a section 5 submission and that if EPA and the submitter cannot agree on an acceptable generic name, the submitter should be permitted to withdraw the submission with a refund of any appliable fees.</w:t>
      </w:r>
    </w:p>
    <w:p w14:paraId="004AE7FD" w14:textId="49C6D8C7" w:rsidR="00E169AC" w:rsidRPr="00431BA7" w:rsidRDefault="00E169AC" w:rsidP="000140FB">
      <w:pPr>
        <w:rPr>
          <w:rFonts w:cstheme="minorHAnsi"/>
          <w:sz w:val="24"/>
          <w:szCs w:val="24"/>
        </w:rPr>
      </w:pPr>
      <w:r w:rsidRPr="00431BA7">
        <w:rPr>
          <w:rFonts w:cstheme="minorHAnsi"/>
          <w:sz w:val="24"/>
          <w:szCs w:val="24"/>
        </w:rPr>
        <w:t>Source: -0053</w:t>
      </w:r>
    </w:p>
    <w:p w14:paraId="0E63CA5D" w14:textId="3CC94CD3" w:rsidR="00E52578" w:rsidRPr="00431BA7" w:rsidRDefault="00060C02" w:rsidP="000140FB">
      <w:pPr>
        <w:rPr>
          <w:rFonts w:cstheme="minorHAnsi"/>
          <w:sz w:val="24"/>
          <w:szCs w:val="24"/>
        </w:rPr>
      </w:pPr>
      <w:r w:rsidRPr="00431BA7">
        <w:rPr>
          <w:rFonts w:cstheme="minorHAnsi"/>
          <w:b/>
          <w:bCs/>
          <w:sz w:val="24"/>
          <w:szCs w:val="24"/>
        </w:rPr>
        <w:t>Response</w:t>
      </w:r>
      <w:r w:rsidR="00E52578" w:rsidRPr="00431BA7">
        <w:rPr>
          <w:rFonts w:cstheme="minorHAnsi"/>
          <w:sz w:val="24"/>
          <w:szCs w:val="24"/>
        </w:rPr>
        <w:t xml:space="preserve">:  Current fee rules permit EPA to issue a partial refund on </w:t>
      </w:r>
      <w:r w:rsidR="00122D7B" w:rsidRPr="00431BA7">
        <w:rPr>
          <w:rFonts w:cstheme="minorHAnsi"/>
          <w:sz w:val="24"/>
          <w:szCs w:val="24"/>
        </w:rPr>
        <w:t>TSCA s</w:t>
      </w:r>
      <w:r w:rsidR="00E52578" w:rsidRPr="00431BA7">
        <w:rPr>
          <w:rFonts w:cstheme="minorHAnsi"/>
          <w:sz w:val="24"/>
          <w:szCs w:val="24"/>
        </w:rPr>
        <w:t xml:space="preserve">ection 5 submission fees </w:t>
      </w:r>
      <w:r w:rsidR="00A526FC" w:rsidRPr="00431BA7">
        <w:rPr>
          <w:rFonts w:cstheme="minorHAnsi"/>
          <w:sz w:val="24"/>
          <w:szCs w:val="24"/>
        </w:rPr>
        <w:t>if</w:t>
      </w:r>
      <w:r w:rsidR="00E52578" w:rsidRPr="00431BA7">
        <w:rPr>
          <w:rFonts w:cstheme="minorHAnsi"/>
          <w:sz w:val="24"/>
          <w:szCs w:val="24"/>
        </w:rPr>
        <w:t xml:space="preserve"> the submission is withdrawn within 10 business days of the start of the applicable section 5 review period.</w:t>
      </w:r>
      <w:r w:rsidR="00E6138B" w:rsidRPr="00431BA7">
        <w:rPr>
          <w:rFonts w:cstheme="minorHAnsi"/>
          <w:sz w:val="24"/>
          <w:szCs w:val="24"/>
        </w:rPr>
        <w:t xml:space="preserve">  40 CFR 700.45(i)(1).  EPA’s practice of “prescreening” section 5 submissions can be expected to reject generic names that are clearly not acceptable under EPA’s generic name guidance, or otherwise not compliant with section 14(c)</w:t>
      </w:r>
      <w:r w:rsidR="00087F15" w:rsidRPr="00431BA7">
        <w:rPr>
          <w:rFonts w:cstheme="minorHAnsi"/>
          <w:sz w:val="24"/>
          <w:szCs w:val="24"/>
        </w:rPr>
        <w:t>(1)(C), and the final rule includes procedures for negotiating acceptable generic names.  However, EPA has historically deferred extended debate over more contentious generic names until it receives notice that the PMN has been commenced and the chemical is to be placed on the TSCA Inventory, saving considerable resources by avoiding controversy over chemicals that may never be commenced.  Even if this negotiation took place immediately after the PMN is submitted, it is unlikely it would conclude with an impasse in time for the submitter to withdraw the section 5 submission and request a partial refund.</w:t>
      </w:r>
    </w:p>
    <w:p w14:paraId="5F243986" w14:textId="686A0E02" w:rsidR="00663016" w:rsidRPr="00431BA7" w:rsidRDefault="00663016" w:rsidP="000140FB">
      <w:pPr>
        <w:rPr>
          <w:rFonts w:cstheme="minorHAnsi"/>
          <w:sz w:val="24"/>
          <w:szCs w:val="24"/>
        </w:rPr>
      </w:pPr>
      <w:r w:rsidRPr="00431BA7">
        <w:rPr>
          <w:rFonts w:cstheme="minorHAnsi"/>
          <w:b/>
          <w:bCs/>
          <w:sz w:val="24"/>
          <w:szCs w:val="24"/>
        </w:rPr>
        <w:t>Comment</w:t>
      </w:r>
      <w:r w:rsidRPr="00431BA7">
        <w:rPr>
          <w:rFonts w:cstheme="minorHAnsi"/>
          <w:sz w:val="24"/>
          <w:szCs w:val="24"/>
        </w:rPr>
        <w:t xml:space="preserve">: One comment </w:t>
      </w:r>
      <w:r w:rsidR="00AF077B" w:rsidRPr="00431BA7">
        <w:rPr>
          <w:rFonts w:cstheme="minorHAnsi"/>
          <w:sz w:val="24"/>
          <w:szCs w:val="24"/>
        </w:rPr>
        <w:t>asserted</w:t>
      </w:r>
      <w:r w:rsidRPr="00431BA7">
        <w:rPr>
          <w:rFonts w:cstheme="minorHAnsi"/>
          <w:sz w:val="24"/>
          <w:szCs w:val="24"/>
        </w:rPr>
        <w:t xml:space="preserve"> that the generic name review and negotiation process for NOCs is too complex, that there is no deadline for processing NOCs, and that there is no real consequence for a company submitting an inadequate generic name.</w:t>
      </w:r>
    </w:p>
    <w:p w14:paraId="47A8445C" w14:textId="227C952D" w:rsidR="00E169AC" w:rsidRPr="00431BA7" w:rsidRDefault="00E169AC" w:rsidP="000140FB">
      <w:pPr>
        <w:rPr>
          <w:rFonts w:cstheme="minorHAnsi"/>
          <w:sz w:val="24"/>
          <w:szCs w:val="24"/>
        </w:rPr>
      </w:pPr>
      <w:r w:rsidRPr="00431BA7">
        <w:rPr>
          <w:rFonts w:cstheme="minorHAnsi"/>
          <w:sz w:val="24"/>
          <w:szCs w:val="24"/>
        </w:rPr>
        <w:t>Source: -0050</w:t>
      </w:r>
    </w:p>
    <w:p w14:paraId="7105869D" w14:textId="0D88D5A7" w:rsidR="000140FB" w:rsidRPr="00431BA7" w:rsidRDefault="00060C02">
      <w:pPr>
        <w:rPr>
          <w:rFonts w:cstheme="minorHAnsi"/>
          <w:b/>
          <w:bCs/>
          <w:sz w:val="24"/>
          <w:szCs w:val="24"/>
        </w:rPr>
      </w:pPr>
      <w:r w:rsidRPr="00431BA7">
        <w:rPr>
          <w:rFonts w:cstheme="minorHAnsi"/>
          <w:b/>
          <w:bCs/>
          <w:sz w:val="24"/>
          <w:szCs w:val="24"/>
        </w:rPr>
        <w:t>Response</w:t>
      </w:r>
      <w:r w:rsidR="0039478C" w:rsidRPr="00431BA7">
        <w:rPr>
          <w:rFonts w:cstheme="minorHAnsi"/>
          <w:b/>
          <w:bCs/>
          <w:sz w:val="24"/>
          <w:szCs w:val="24"/>
        </w:rPr>
        <w:t>:</w:t>
      </w:r>
      <w:r w:rsidR="0039478C" w:rsidRPr="00431BA7">
        <w:rPr>
          <w:rFonts w:cstheme="minorHAnsi"/>
          <w:b/>
          <w:bCs/>
          <w:i/>
          <w:iCs/>
          <w:sz w:val="24"/>
          <w:szCs w:val="24"/>
        </w:rPr>
        <w:t xml:space="preserve"> </w:t>
      </w:r>
      <w:r w:rsidR="006831B3" w:rsidRPr="00431BA7">
        <w:rPr>
          <w:rFonts w:cstheme="minorHAnsi"/>
          <w:b/>
          <w:bCs/>
          <w:sz w:val="24"/>
          <w:szCs w:val="24"/>
        </w:rPr>
        <w:t xml:space="preserve"> </w:t>
      </w:r>
      <w:r w:rsidR="00663016" w:rsidRPr="00431BA7">
        <w:rPr>
          <w:rFonts w:cstheme="minorHAnsi"/>
          <w:sz w:val="24"/>
          <w:szCs w:val="24"/>
        </w:rPr>
        <w:t xml:space="preserve">EPA disagrees with this comment.  The generic name negotiation process for NOCs is </w:t>
      </w:r>
      <w:proofErr w:type="gramStart"/>
      <w:r w:rsidR="00663016" w:rsidRPr="00431BA7">
        <w:rPr>
          <w:rFonts w:cstheme="minorHAnsi"/>
          <w:sz w:val="24"/>
          <w:szCs w:val="24"/>
        </w:rPr>
        <w:t>actually a</w:t>
      </w:r>
      <w:proofErr w:type="gramEnd"/>
      <w:r w:rsidR="00663016" w:rsidRPr="00431BA7">
        <w:rPr>
          <w:rFonts w:cstheme="minorHAnsi"/>
          <w:sz w:val="24"/>
          <w:szCs w:val="24"/>
        </w:rPr>
        <w:t xml:space="preserve"> simplification of </w:t>
      </w:r>
      <w:r w:rsidR="00122D7B" w:rsidRPr="00431BA7">
        <w:rPr>
          <w:rFonts w:cstheme="minorHAnsi"/>
          <w:sz w:val="24"/>
          <w:szCs w:val="24"/>
        </w:rPr>
        <w:t xml:space="preserve">pre-existing </w:t>
      </w:r>
      <w:r w:rsidR="00663016" w:rsidRPr="00431BA7">
        <w:rPr>
          <w:rFonts w:cstheme="minorHAnsi"/>
          <w:sz w:val="24"/>
          <w:szCs w:val="24"/>
        </w:rPr>
        <w:t xml:space="preserve">procedures, intended to more efficiently elicit a structurally descriptive generic name </w:t>
      </w:r>
      <w:r w:rsidR="00EB524C" w:rsidRPr="00431BA7">
        <w:rPr>
          <w:rFonts w:cstheme="minorHAnsi"/>
          <w:sz w:val="24"/>
          <w:szCs w:val="24"/>
        </w:rPr>
        <w:t>in line with the EPA generic name guidance and in compliance with the section 14(c) requirements for generic names.  It is a simplification of the process</w:t>
      </w:r>
      <w:r w:rsidR="00122D7B" w:rsidRPr="00431BA7">
        <w:rPr>
          <w:rFonts w:cstheme="minorHAnsi"/>
          <w:sz w:val="24"/>
          <w:szCs w:val="24"/>
        </w:rPr>
        <w:t xml:space="preserve"> previously</w:t>
      </w:r>
      <w:r w:rsidR="00EB524C" w:rsidRPr="00431BA7">
        <w:rPr>
          <w:rFonts w:cstheme="minorHAnsi"/>
          <w:sz w:val="24"/>
          <w:szCs w:val="24"/>
        </w:rPr>
        <w:t xml:space="preserve"> set out in 40 CFR 720, but still allows room for good faith technical debate and </w:t>
      </w:r>
      <w:r w:rsidR="003F06A2" w:rsidRPr="00431BA7">
        <w:rPr>
          <w:rFonts w:cstheme="minorHAnsi"/>
          <w:sz w:val="24"/>
          <w:szCs w:val="24"/>
        </w:rPr>
        <w:t xml:space="preserve">initial </w:t>
      </w:r>
      <w:r w:rsidR="00EB524C" w:rsidRPr="00431BA7">
        <w:rPr>
          <w:rFonts w:cstheme="minorHAnsi"/>
          <w:sz w:val="24"/>
          <w:szCs w:val="24"/>
        </w:rPr>
        <w:t xml:space="preserve">disagreement over acceptable names for more difficult molecules.  While neither </w:t>
      </w:r>
      <w:r w:rsidR="0085548E" w:rsidRPr="00431BA7">
        <w:rPr>
          <w:rFonts w:cstheme="minorHAnsi"/>
          <w:sz w:val="24"/>
          <w:szCs w:val="24"/>
        </w:rPr>
        <w:t>the final rule nor other</w:t>
      </w:r>
      <w:r w:rsidR="00EB524C" w:rsidRPr="00431BA7">
        <w:rPr>
          <w:rFonts w:cstheme="minorHAnsi"/>
          <w:sz w:val="24"/>
          <w:szCs w:val="24"/>
        </w:rPr>
        <w:t xml:space="preserve"> regulations specify a time for EPA to complete the processing of NOCs, failing to provide a compliant generic name is not consequence-free for the submitter—if EPA ultimately determines the generic name does not meet the requirements of </w:t>
      </w:r>
      <w:r w:rsidR="0085548E" w:rsidRPr="00431BA7">
        <w:rPr>
          <w:rFonts w:cstheme="minorHAnsi"/>
          <w:sz w:val="24"/>
          <w:szCs w:val="24"/>
        </w:rPr>
        <w:t xml:space="preserve">section </w:t>
      </w:r>
      <w:r w:rsidR="00EB524C" w:rsidRPr="00431BA7">
        <w:rPr>
          <w:rFonts w:cstheme="minorHAnsi"/>
          <w:sz w:val="24"/>
          <w:szCs w:val="24"/>
        </w:rPr>
        <w:t xml:space="preserve">14(c), the CBI claim will be </w:t>
      </w:r>
      <w:proofErr w:type="gramStart"/>
      <w:r w:rsidR="00EB524C" w:rsidRPr="00431BA7">
        <w:rPr>
          <w:rFonts w:cstheme="minorHAnsi"/>
          <w:sz w:val="24"/>
          <w:szCs w:val="24"/>
        </w:rPr>
        <w:t>denied</w:t>
      </w:r>
      <w:proofErr w:type="gramEnd"/>
      <w:r w:rsidR="00EB524C" w:rsidRPr="00431BA7">
        <w:rPr>
          <w:rFonts w:cstheme="minorHAnsi"/>
          <w:sz w:val="24"/>
          <w:szCs w:val="24"/>
        </w:rPr>
        <w:t xml:space="preserve"> and the specific substance identity will be listed on the public portion of the Inventory.</w:t>
      </w:r>
    </w:p>
    <w:p w14:paraId="082A2A9E" w14:textId="330909F9" w:rsidR="00B73B11" w:rsidRPr="00431BA7" w:rsidRDefault="00B73B11" w:rsidP="002C4D8C">
      <w:pPr>
        <w:pStyle w:val="Heading2"/>
        <w:numPr>
          <w:ilvl w:val="0"/>
          <w:numId w:val="0"/>
        </w:numPr>
        <w:ind w:left="360" w:hanging="360"/>
        <w:rPr>
          <w:i/>
          <w:iCs/>
        </w:rPr>
      </w:pPr>
      <w:bookmarkStart w:id="16" w:name="_Toc132901188"/>
      <w:r w:rsidRPr="00431BA7">
        <w:t xml:space="preserve">Unit </w:t>
      </w:r>
      <w:r w:rsidR="00E401BF" w:rsidRPr="00431BA7">
        <w:t>10</w:t>
      </w:r>
      <w:r w:rsidRPr="00431BA7">
        <w:t>: Deficient Claims (</w:t>
      </w:r>
      <w:r w:rsidR="00B6654E" w:rsidRPr="00431BA7">
        <w:t xml:space="preserve">40 CFR </w:t>
      </w:r>
      <w:r w:rsidRPr="00431BA7">
        <w:t>703.5(e))</w:t>
      </w:r>
      <w:bookmarkEnd w:id="16"/>
    </w:p>
    <w:p w14:paraId="74F4D739" w14:textId="075E2E94" w:rsidR="008D2755" w:rsidRPr="00431BA7" w:rsidRDefault="008D2755" w:rsidP="00A71A43">
      <w:pPr>
        <w:tabs>
          <w:tab w:val="left" w:pos="720"/>
        </w:tabs>
        <w:rPr>
          <w:rFonts w:cstheme="minorHAnsi"/>
          <w:sz w:val="24"/>
          <w:szCs w:val="24"/>
        </w:rPr>
      </w:pPr>
      <w:r w:rsidRPr="00431BA7">
        <w:rPr>
          <w:rFonts w:cstheme="minorHAnsi"/>
          <w:b/>
          <w:bCs/>
          <w:sz w:val="24"/>
          <w:szCs w:val="24"/>
        </w:rPr>
        <w:t>Comment</w:t>
      </w:r>
      <w:r w:rsidRPr="00431BA7">
        <w:rPr>
          <w:rFonts w:cstheme="minorHAnsi"/>
          <w:sz w:val="24"/>
          <w:szCs w:val="24"/>
        </w:rPr>
        <w:t>:</w:t>
      </w:r>
      <w:r w:rsidR="00A71A43" w:rsidRPr="00431BA7">
        <w:rPr>
          <w:rFonts w:cstheme="minorHAnsi"/>
          <w:sz w:val="24"/>
          <w:szCs w:val="24"/>
        </w:rPr>
        <w:t xml:space="preserve">  One commenter requested clarification of a statement in proposed </w:t>
      </w:r>
      <w:r w:rsidR="0085548E" w:rsidRPr="00431BA7">
        <w:rPr>
          <w:rFonts w:cstheme="minorHAnsi"/>
          <w:sz w:val="24"/>
          <w:szCs w:val="24"/>
        </w:rPr>
        <w:t xml:space="preserve">40 CFR </w:t>
      </w:r>
      <w:r w:rsidR="00A71A43" w:rsidRPr="00431BA7">
        <w:rPr>
          <w:rFonts w:cstheme="minorHAnsi"/>
          <w:sz w:val="24"/>
          <w:szCs w:val="24"/>
        </w:rPr>
        <w:t xml:space="preserve">703.5(c) that “Generally, a public copy that removes all or substantially all of the information would not meet the requirements of this paragraph (c) of this section and the submission may be temporarily put on hold as deficient” to reflect that sometimes whole pages or diagrams need </w:t>
      </w:r>
      <w:r w:rsidR="00A71A43" w:rsidRPr="00431BA7">
        <w:rPr>
          <w:rFonts w:cstheme="minorHAnsi"/>
          <w:sz w:val="24"/>
          <w:szCs w:val="24"/>
        </w:rPr>
        <w:lastRenderedPageBreak/>
        <w:t>to be redacted to protect CBI and that EPA should not require substantiation for every component of the redaction (such as axes and captions on charts).</w:t>
      </w:r>
    </w:p>
    <w:p w14:paraId="4F5CAD35" w14:textId="3C9CDB0B" w:rsidR="00E169AC" w:rsidRPr="00431BA7" w:rsidRDefault="00E169AC" w:rsidP="00A71A43">
      <w:pPr>
        <w:tabs>
          <w:tab w:val="left" w:pos="720"/>
        </w:tabs>
        <w:rPr>
          <w:rFonts w:cstheme="minorHAnsi"/>
          <w:sz w:val="24"/>
          <w:szCs w:val="24"/>
        </w:rPr>
      </w:pPr>
      <w:r w:rsidRPr="00431BA7">
        <w:rPr>
          <w:rFonts w:cstheme="minorHAnsi"/>
          <w:sz w:val="24"/>
          <w:szCs w:val="24"/>
        </w:rPr>
        <w:t>Source: -0044</w:t>
      </w:r>
    </w:p>
    <w:p w14:paraId="627DDC02" w14:textId="0B9EB73E" w:rsidR="008D2755" w:rsidRPr="00431BA7" w:rsidRDefault="00060C02" w:rsidP="000140FB">
      <w:pPr>
        <w:rPr>
          <w:rFonts w:cstheme="minorHAnsi"/>
          <w:sz w:val="24"/>
          <w:szCs w:val="24"/>
        </w:rPr>
      </w:pPr>
      <w:r w:rsidRPr="00431BA7">
        <w:rPr>
          <w:rFonts w:cstheme="minorHAnsi"/>
          <w:b/>
          <w:bCs/>
          <w:sz w:val="24"/>
          <w:szCs w:val="24"/>
        </w:rPr>
        <w:t>Response</w:t>
      </w:r>
      <w:r w:rsidR="008D2755" w:rsidRPr="00431BA7">
        <w:rPr>
          <w:rFonts w:cstheme="minorHAnsi"/>
          <w:sz w:val="24"/>
          <w:szCs w:val="24"/>
        </w:rPr>
        <w:t>:</w:t>
      </w:r>
      <w:r w:rsidR="00A71A43" w:rsidRPr="00431BA7">
        <w:rPr>
          <w:rFonts w:cstheme="minorHAnsi"/>
          <w:sz w:val="24"/>
          <w:szCs w:val="24"/>
        </w:rPr>
        <w:t xml:space="preserve">  EPA continues to believe that generally, a public copy that is blank or nearly blank is </w:t>
      </w:r>
      <w:r w:rsidR="004475BB" w:rsidRPr="00431BA7">
        <w:rPr>
          <w:rFonts w:cstheme="minorHAnsi"/>
          <w:sz w:val="24"/>
          <w:szCs w:val="24"/>
        </w:rPr>
        <w:t xml:space="preserve">not consistent with the requirement </w:t>
      </w:r>
      <w:r w:rsidR="0052198E" w:rsidRPr="00431BA7">
        <w:rPr>
          <w:rFonts w:cstheme="minorHAnsi"/>
          <w:sz w:val="24"/>
          <w:szCs w:val="24"/>
        </w:rPr>
        <w:t xml:space="preserve">at 40 CFR 703.5(c) </w:t>
      </w:r>
      <w:r w:rsidR="004475BB" w:rsidRPr="00431BA7">
        <w:rPr>
          <w:rFonts w:cstheme="minorHAnsi"/>
          <w:sz w:val="24"/>
          <w:szCs w:val="24"/>
        </w:rPr>
        <w:t xml:space="preserve">to only redact </w:t>
      </w:r>
      <w:r w:rsidR="0052198E" w:rsidRPr="00431BA7">
        <w:rPr>
          <w:rFonts w:cstheme="minorHAnsi"/>
          <w:sz w:val="24"/>
          <w:szCs w:val="24"/>
        </w:rPr>
        <w:t>information that is claimed as confidential</w:t>
      </w:r>
      <w:r w:rsidR="00864C91" w:rsidRPr="00431BA7">
        <w:rPr>
          <w:rFonts w:cstheme="minorHAnsi"/>
          <w:sz w:val="24"/>
          <w:szCs w:val="24"/>
        </w:rPr>
        <w:t>, because</w:t>
      </w:r>
      <w:r w:rsidR="00F62014" w:rsidRPr="00431BA7">
        <w:rPr>
          <w:rFonts w:cstheme="minorHAnsi"/>
          <w:sz w:val="24"/>
          <w:szCs w:val="24"/>
        </w:rPr>
        <w:t xml:space="preserve"> such cases</w:t>
      </w:r>
      <w:r w:rsidR="0030127E" w:rsidRPr="00431BA7">
        <w:rPr>
          <w:rFonts w:cstheme="minorHAnsi"/>
          <w:sz w:val="24"/>
          <w:szCs w:val="24"/>
        </w:rPr>
        <w:t xml:space="preserve"> </w:t>
      </w:r>
      <w:r w:rsidR="00D72443" w:rsidRPr="00431BA7">
        <w:rPr>
          <w:rFonts w:cstheme="minorHAnsi"/>
          <w:sz w:val="24"/>
          <w:szCs w:val="24"/>
        </w:rPr>
        <w:t xml:space="preserve">generally </w:t>
      </w:r>
      <w:r w:rsidR="00B24EF6" w:rsidRPr="00431BA7">
        <w:rPr>
          <w:rFonts w:cstheme="minorHAnsi"/>
          <w:sz w:val="24"/>
          <w:szCs w:val="24"/>
        </w:rPr>
        <w:t>reflect the fac</w:t>
      </w:r>
      <w:r w:rsidR="00F860A5" w:rsidRPr="00431BA7">
        <w:rPr>
          <w:rFonts w:cstheme="minorHAnsi"/>
          <w:sz w:val="24"/>
          <w:szCs w:val="24"/>
        </w:rPr>
        <w:t xml:space="preserve">t </w:t>
      </w:r>
      <w:r w:rsidR="00AA12B3" w:rsidRPr="00431BA7">
        <w:rPr>
          <w:rFonts w:cstheme="minorHAnsi"/>
          <w:sz w:val="24"/>
          <w:szCs w:val="24"/>
        </w:rPr>
        <w:t>that the submitter has</w:t>
      </w:r>
      <w:r w:rsidR="00D72443" w:rsidRPr="00431BA7">
        <w:rPr>
          <w:rFonts w:cstheme="minorHAnsi"/>
          <w:sz w:val="24"/>
          <w:szCs w:val="24"/>
        </w:rPr>
        <w:t xml:space="preserve"> not revie</w:t>
      </w:r>
      <w:r w:rsidR="00167BCB" w:rsidRPr="00431BA7">
        <w:rPr>
          <w:rFonts w:cstheme="minorHAnsi"/>
          <w:sz w:val="24"/>
          <w:szCs w:val="24"/>
        </w:rPr>
        <w:t xml:space="preserve">wed </w:t>
      </w:r>
      <w:r w:rsidR="00974399" w:rsidRPr="00431BA7">
        <w:rPr>
          <w:rFonts w:cstheme="minorHAnsi"/>
          <w:sz w:val="24"/>
          <w:szCs w:val="24"/>
        </w:rPr>
        <w:t>the appropriateness</w:t>
      </w:r>
      <w:r w:rsidR="00CF36A1" w:rsidRPr="00431BA7">
        <w:rPr>
          <w:rFonts w:cstheme="minorHAnsi"/>
          <w:sz w:val="24"/>
          <w:szCs w:val="24"/>
        </w:rPr>
        <w:t xml:space="preserve"> of </w:t>
      </w:r>
      <w:r w:rsidR="00167BCB" w:rsidRPr="00431BA7">
        <w:rPr>
          <w:rFonts w:cstheme="minorHAnsi"/>
          <w:sz w:val="24"/>
          <w:szCs w:val="24"/>
        </w:rPr>
        <w:t>confidentiality claims</w:t>
      </w:r>
      <w:r w:rsidR="00CF36A1" w:rsidRPr="00431BA7">
        <w:rPr>
          <w:rFonts w:cstheme="minorHAnsi"/>
          <w:sz w:val="24"/>
          <w:szCs w:val="24"/>
        </w:rPr>
        <w:t xml:space="preserve"> as required by</w:t>
      </w:r>
      <w:r w:rsidR="00E133CF" w:rsidRPr="00431BA7">
        <w:rPr>
          <w:rFonts w:cstheme="minorHAnsi"/>
          <w:sz w:val="24"/>
          <w:szCs w:val="24"/>
        </w:rPr>
        <w:t xml:space="preserve"> section 14(c</w:t>
      </w:r>
      <w:r w:rsidR="008030EF" w:rsidRPr="00431BA7">
        <w:rPr>
          <w:rFonts w:cstheme="minorHAnsi"/>
          <w:sz w:val="24"/>
          <w:szCs w:val="24"/>
        </w:rPr>
        <w:t>)(</w:t>
      </w:r>
      <w:r w:rsidR="00E133CF" w:rsidRPr="00431BA7">
        <w:rPr>
          <w:rFonts w:cstheme="minorHAnsi"/>
          <w:sz w:val="24"/>
          <w:szCs w:val="24"/>
        </w:rPr>
        <w:t>1)(B)</w:t>
      </w:r>
      <w:r w:rsidR="00A71A43" w:rsidRPr="00431BA7">
        <w:rPr>
          <w:rFonts w:cstheme="minorHAnsi"/>
          <w:sz w:val="24"/>
          <w:szCs w:val="24"/>
        </w:rPr>
        <w:t xml:space="preserve">.  </w:t>
      </w:r>
      <w:r w:rsidR="001A76EA" w:rsidRPr="00431BA7">
        <w:rPr>
          <w:rFonts w:cstheme="minorHAnsi"/>
          <w:sz w:val="24"/>
          <w:szCs w:val="24"/>
        </w:rPr>
        <w:t xml:space="preserve"> </w:t>
      </w:r>
      <w:r w:rsidR="008030EF" w:rsidRPr="00431BA7">
        <w:rPr>
          <w:rFonts w:cstheme="minorHAnsi"/>
          <w:sz w:val="24"/>
          <w:szCs w:val="24"/>
        </w:rPr>
        <w:t>However, t</w:t>
      </w:r>
      <w:r w:rsidR="00EA77EE" w:rsidRPr="00431BA7">
        <w:rPr>
          <w:rFonts w:cstheme="minorHAnsi"/>
          <w:sz w:val="24"/>
          <w:szCs w:val="24"/>
        </w:rPr>
        <w:t>here may be</w:t>
      </w:r>
      <w:r w:rsidR="00A71A43" w:rsidRPr="00431BA7">
        <w:rPr>
          <w:rFonts w:cstheme="minorHAnsi"/>
          <w:sz w:val="24"/>
          <w:szCs w:val="24"/>
        </w:rPr>
        <w:t xml:space="preserve"> </w:t>
      </w:r>
      <w:r w:rsidR="00C60493" w:rsidRPr="00431BA7">
        <w:rPr>
          <w:rFonts w:cstheme="minorHAnsi"/>
          <w:sz w:val="24"/>
          <w:szCs w:val="24"/>
        </w:rPr>
        <w:t xml:space="preserve">individual </w:t>
      </w:r>
      <w:r w:rsidR="00A71A43" w:rsidRPr="00431BA7">
        <w:rPr>
          <w:rFonts w:cstheme="minorHAnsi"/>
          <w:sz w:val="24"/>
          <w:szCs w:val="24"/>
        </w:rPr>
        <w:t xml:space="preserve">cases </w:t>
      </w:r>
      <w:r w:rsidR="004705B4" w:rsidRPr="00431BA7">
        <w:rPr>
          <w:rFonts w:cstheme="minorHAnsi"/>
          <w:sz w:val="24"/>
          <w:szCs w:val="24"/>
        </w:rPr>
        <w:t>where</w:t>
      </w:r>
      <w:r w:rsidR="008464C5" w:rsidRPr="00431BA7">
        <w:rPr>
          <w:rFonts w:cstheme="minorHAnsi"/>
          <w:sz w:val="24"/>
          <w:szCs w:val="24"/>
        </w:rPr>
        <w:t xml:space="preserve"> </w:t>
      </w:r>
      <w:proofErr w:type="gramStart"/>
      <w:r w:rsidR="004705B4" w:rsidRPr="00431BA7">
        <w:rPr>
          <w:rFonts w:cstheme="minorHAnsi"/>
          <w:sz w:val="24"/>
          <w:szCs w:val="24"/>
        </w:rPr>
        <w:t>all of</w:t>
      </w:r>
      <w:proofErr w:type="gramEnd"/>
      <w:r w:rsidR="004705B4" w:rsidRPr="00431BA7">
        <w:rPr>
          <w:rFonts w:cstheme="minorHAnsi"/>
          <w:sz w:val="24"/>
          <w:szCs w:val="24"/>
        </w:rPr>
        <w:t xml:space="preserve"> the information in an </w:t>
      </w:r>
      <w:r w:rsidR="00A71A43" w:rsidRPr="00431BA7">
        <w:rPr>
          <w:rFonts w:cstheme="minorHAnsi"/>
          <w:sz w:val="24"/>
          <w:szCs w:val="24"/>
        </w:rPr>
        <w:t xml:space="preserve">entire document </w:t>
      </w:r>
      <w:r w:rsidR="004705B4" w:rsidRPr="00431BA7">
        <w:rPr>
          <w:rFonts w:cstheme="minorHAnsi"/>
          <w:sz w:val="24"/>
          <w:szCs w:val="24"/>
        </w:rPr>
        <w:t xml:space="preserve">has been claimed as confidential </w:t>
      </w:r>
      <w:r w:rsidR="000E79F8" w:rsidRPr="00431BA7">
        <w:rPr>
          <w:rFonts w:cstheme="minorHAnsi"/>
          <w:sz w:val="24"/>
          <w:szCs w:val="24"/>
        </w:rPr>
        <w:t>a</w:t>
      </w:r>
      <w:r w:rsidR="008030EF" w:rsidRPr="00431BA7">
        <w:rPr>
          <w:rFonts w:cstheme="minorHAnsi"/>
          <w:sz w:val="24"/>
          <w:szCs w:val="24"/>
        </w:rPr>
        <w:t>nd a</w:t>
      </w:r>
      <w:r w:rsidR="000E79F8" w:rsidRPr="00431BA7">
        <w:rPr>
          <w:rFonts w:cstheme="minorHAnsi"/>
          <w:sz w:val="24"/>
          <w:szCs w:val="24"/>
        </w:rPr>
        <w:t xml:space="preserve"> blank public copy may</w:t>
      </w:r>
      <w:r w:rsidR="008030EF" w:rsidRPr="00431BA7">
        <w:rPr>
          <w:rFonts w:cstheme="minorHAnsi"/>
          <w:sz w:val="24"/>
          <w:szCs w:val="24"/>
        </w:rPr>
        <w:t xml:space="preserve"> therefore</w:t>
      </w:r>
      <w:r w:rsidR="000E79F8" w:rsidRPr="00431BA7">
        <w:rPr>
          <w:rFonts w:cstheme="minorHAnsi"/>
          <w:sz w:val="24"/>
          <w:szCs w:val="24"/>
        </w:rPr>
        <w:t xml:space="preserve"> be appropriate. For example, if a submission consists of</w:t>
      </w:r>
      <w:r w:rsidR="00A71A43" w:rsidRPr="00431BA7">
        <w:rPr>
          <w:rFonts w:cstheme="minorHAnsi"/>
          <w:sz w:val="24"/>
          <w:szCs w:val="24"/>
        </w:rPr>
        <w:t xml:space="preserve"> one chart that shows information </w:t>
      </w:r>
      <w:r w:rsidR="000A433D" w:rsidRPr="00431BA7">
        <w:rPr>
          <w:rFonts w:cstheme="minorHAnsi"/>
          <w:sz w:val="24"/>
          <w:szCs w:val="24"/>
        </w:rPr>
        <w:t xml:space="preserve">that has all been </w:t>
      </w:r>
      <w:r w:rsidR="00A71A43" w:rsidRPr="00431BA7">
        <w:rPr>
          <w:rFonts w:cstheme="minorHAnsi"/>
          <w:sz w:val="24"/>
          <w:szCs w:val="24"/>
        </w:rPr>
        <w:t xml:space="preserve">claimed as confidential, redacting the </w:t>
      </w:r>
      <w:proofErr w:type="gramStart"/>
      <w:r w:rsidR="00A71A43" w:rsidRPr="00431BA7">
        <w:rPr>
          <w:rFonts w:cstheme="minorHAnsi"/>
          <w:sz w:val="24"/>
          <w:szCs w:val="24"/>
        </w:rPr>
        <w:t>chart</w:t>
      </w:r>
      <w:proofErr w:type="gramEnd"/>
      <w:r w:rsidR="000A433D" w:rsidRPr="00431BA7">
        <w:rPr>
          <w:rFonts w:cstheme="minorHAnsi"/>
          <w:sz w:val="24"/>
          <w:szCs w:val="24"/>
        </w:rPr>
        <w:t xml:space="preserve"> and</w:t>
      </w:r>
      <w:r w:rsidR="00A71A43" w:rsidRPr="00431BA7">
        <w:rPr>
          <w:rFonts w:cstheme="minorHAnsi"/>
          <w:sz w:val="24"/>
          <w:szCs w:val="24"/>
        </w:rPr>
        <w:t xml:space="preserve"> </w:t>
      </w:r>
      <w:r w:rsidR="000A433D" w:rsidRPr="00431BA7">
        <w:rPr>
          <w:rFonts w:cstheme="minorHAnsi"/>
          <w:sz w:val="24"/>
          <w:szCs w:val="24"/>
        </w:rPr>
        <w:t>producing a blank</w:t>
      </w:r>
      <w:r w:rsidR="00A71A43" w:rsidRPr="00431BA7">
        <w:rPr>
          <w:rFonts w:cstheme="minorHAnsi"/>
          <w:sz w:val="24"/>
          <w:szCs w:val="24"/>
        </w:rPr>
        <w:t xml:space="preserve"> public copy of that short document could be acceptable.  But TSCA submissions rarely consist of only a single chart, so the generalization made in the propos</w:t>
      </w:r>
      <w:r w:rsidR="007B56E0" w:rsidRPr="00431BA7">
        <w:rPr>
          <w:rFonts w:cstheme="minorHAnsi"/>
          <w:sz w:val="24"/>
          <w:szCs w:val="24"/>
        </w:rPr>
        <w:t>ed rule</w:t>
      </w:r>
      <w:r w:rsidR="00A71A43" w:rsidRPr="00431BA7">
        <w:rPr>
          <w:rFonts w:cstheme="minorHAnsi"/>
          <w:sz w:val="24"/>
          <w:szCs w:val="24"/>
        </w:rPr>
        <w:t xml:space="preserve"> is still appropriate</w:t>
      </w:r>
      <w:r w:rsidR="000A433D" w:rsidRPr="00431BA7">
        <w:rPr>
          <w:rFonts w:cstheme="minorHAnsi"/>
          <w:sz w:val="24"/>
          <w:szCs w:val="24"/>
        </w:rPr>
        <w:t xml:space="preserve"> and had been retained in the final rule</w:t>
      </w:r>
      <w:r w:rsidR="00A71A43" w:rsidRPr="00431BA7">
        <w:rPr>
          <w:rFonts w:cstheme="minorHAnsi"/>
          <w:sz w:val="24"/>
          <w:szCs w:val="24"/>
        </w:rPr>
        <w:t>.</w:t>
      </w:r>
      <w:r w:rsidR="00202D61" w:rsidRPr="00431BA7">
        <w:rPr>
          <w:rFonts w:cstheme="minorHAnsi"/>
          <w:sz w:val="24"/>
          <w:szCs w:val="24"/>
        </w:rPr>
        <w:t xml:space="preserve">  EPA further notes that with respect to providing substantiation for graphical elements, a single substantiation response will generally suffice for the whole graphic, and that while it is necessary to explain each redaction, it is not necessary to provide repetitive substantiation responses for each redacted element of a single chart.  (</w:t>
      </w:r>
      <w:proofErr w:type="gramStart"/>
      <w:r w:rsidR="00202D61" w:rsidRPr="00431BA7">
        <w:rPr>
          <w:rFonts w:cstheme="minorHAnsi"/>
          <w:sz w:val="24"/>
          <w:szCs w:val="24"/>
        </w:rPr>
        <w:t>I.e.</w:t>
      </w:r>
      <w:proofErr w:type="gramEnd"/>
      <w:r w:rsidR="00202D61" w:rsidRPr="00431BA7">
        <w:rPr>
          <w:rFonts w:cstheme="minorHAnsi"/>
          <w:sz w:val="24"/>
          <w:szCs w:val="24"/>
        </w:rPr>
        <w:t xml:space="preserve"> “The disclosure of elements A, B, and C would cause competitive harm because…” is acceptable.)</w:t>
      </w:r>
    </w:p>
    <w:p w14:paraId="0F06102D" w14:textId="4A44F76F" w:rsidR="007D4056" w:rsidRPr="00431BA7" w:rsidRDefault="008D2755" w:rsidP="008D2755">
      <w:pPr>
        <w:rPr>
          <w:rFonts w:cstheme="minorHAnsi"/>
          <w:sz w:val="24"/>
          <w:szCs w:val="24"/>
        </w:rPr>
      </w:pPr>
      <w:r w:rsidRPr="00431BA7">
        <w:rPr>
          <w:rFonts w:cstheme="minorHAnsi"/>
          <w:b/>
          <w:bCs/>
          <w:sz w:val="24"/>
          <w:szCs w:val="24"/>
        </w:rPr>
        <w:t>Comment</w:t>
      </w:r>
      <w:r w:rsidRPr="00431BA7">
        <w:rPr>
          <w:rFonts w:cstheme="minorHAnsi"/>
          <w:sz w:val="24"/>
          <w:szCs w:val="24"/>
        </w:rPr>
        <w:t>:</w:t>
      </w:r>
      <w:r w:rsidR="005B7CCA" w:rsidRPr="00431BA7">
        <w:rPr>
          <w:rFonts w:cstheme="minorHAnsi"/>
          <w:sz w:val="24"/>
          <w:szCs w:val="24"/>
        </w:rPr>
        <w:t xml:space="preserve">  EPA received several comments concerning the proposed deficiency provisions (</w:t>
      </w:r>
      <w:r w:rsidR="0085548E" w:rsidRPr="00431BA7">
        <w:rPr>
          <w:rFonts w:cstheme="minorHAnsi"/>
          <w:sz w:val="24"/>
          <w:szCs w:val="24"/>
        </w:rPr>
        <w:t xml:space="preserve">40 CFR </w:t>
      </w:r>
      <w:r w:rsidR="005B7CCA" w:rsidRPr="00431BA7">
        <w:rPr>
          <w:rFonts w:cstheme="minorHAnsi"/>
          <w:sz w:val="24"/>
          <w:szCs w:val="24"/>
        </w:rPr>
        <w:t xml:space="preserve">703.5(e)), arguing both that the provisions were too lenient and too strict.  </w:t>
      </w:r>
      <w:r w:rsidR="00522326" w:rsidRPr="00431BA7">
        <w:rPr>
          <w:rFonts w:cstheme="minorHAnsi"/>
          <w:sz w:val="24"/>
          <w:szCs w:val="24"/>
        </w:rPr>
        <w:t xml:space="preserve">One commenter asserted that </w:t>
      </w:r>
      <w:r w:rsidR="00522326" w:rsidRPr="00431BA7">
        <w:rPr>
          <w:sz w:val="24"/>
          <w:szCs w:val="24"/>
        </w:rPr>
        <w:t>TSCA does not give EPA discretion to approve a deficient CBI claim.</w:t>
      </w:r>
      <w:r w:rsidR="00522326" w:rsidRPr="00431BA7">
        <w:rPr>
          <w:rFonts w:cstheme="minorHAnsi"/>
          <w:sz w:val="24"/>
          <w:szCs w:val="24"/>
        </w:rPr>
        <w:t xml:space="preserve"> </w:t>
      </w:r>
    </w:p>
    <w:p w14:paraId="41978FF8" w14:textId="399BF7D2" w:rsidR="00BF25E2" w:rsidRPr="00431BA7" w:rsidRDefault="00BF25E2" w:rsidP="008D2755">
      <w:pPr>
        <w:rPr>
          <w:rFonts w:cstheme="minorHAnsi"/>
          <w:sz w:val="24"/>
          <w:szCs w:val="24"/>
        </w:rPr>
      </w:pPr>
      <w:r w:rsidRPr="00431BA7">
        <w:rPr>
          <w:rFonts w:cstheme="minorHAnsi"/>
          <w:sz w:val="24"/>
          <w:szCs w:val="24"/>
        </w:rPr>
        <w:t>Source: -0050</w:t>
      </w:r>
    </w:p>
    <w:p w14:paraId="60C42430" w14:textId="0C3523EF" w:rsidR="00DB5459" w:rsidRPr="00431BA7" w:rsidRDefault="00060C02" w:rsidP="00276DFE">
      <w:pPr>
        <w:rPr>
          <w:rFonts w:cstheme="minorHAnsi"/>
          <w:sz w:val="24"/>
          <w:szCs w:val="24"/>
        </w:rPr>
      </w:pPr>
      <w:r w:rsidRPr="00431BA7">
        <w:rPr>
          <w:rFonts w:cstheme="minorHAnsi"/>
          <w:b/>
          <w:bCs/>
          <w:sz w:val="24"/>
          <w:szCs w:val="24"/>
        </w:rPr>
        <w:t>Response</w:t>
      </w:r>
      <w:r w:rsidR="008D2755" w:rsidRPr="00431BA7">
        <w:rPr>
          <w:rFonts w:cstheme="minorHAnsi"/>
          <w:sz w:val="24"/>
          <w:szCs w:val="24"/>
        </w:rPr>
        <w:t>:</w:t>
      </w:r>
      <w:r w:rsidR="00BB1508" w:rsidRPr="00431BA7">
        <w:rPr>
          <w:rFonts w:cstheme="minorHAnsi"/>
          <w:sz w:val="24"/>
          <w:szCs w:val="24"/>
        </w:rPr>
        <w:t xml:space="preserve"> TSCA</w:t>
      </w:r>
      <w:r w:rsidR="005B5EC6" w:rsidRPr="00431BA7">
        <w:rPr>
          <w:rFonts w:cstheme="minorHAnsi"/>
          <w:sz w:val="24"/>
          <w:szCs w:val="24"/>
        </w:rPr>
        <w:t xml:space="preserve"> </w:t>
      </w:r>
      <w:r w:rsidR="00FC2556" w:rsidRPr="00431BA7">
        <w:rPr>
          <w:rFonts w:cstheme="minorHAnsi"/>
          <w:sz w:val="24"/>
          <w:szCs w:val="24"/>
        </w:rPr>
        <w:t>does not require that EPA allow submitters to correct</w:t>
      </w:r>
      <w:r w:rsidR="00BB1508" w:rsidRPr="00431BA7">
        <w:rPr>
          <w:rFonts w:cstheme="minorHAnsi"/>
          <w:sz w:val="24"/>
          <w:szCs w:val="24"/>
        </w:rPr>
        <w:t xml:space="preserve"> deficiencies with </w:t>
      </w:r>
      <w:r w:rsidR="00C6010B" w:rsidRPr="00431BA7">
        <w:rPr>
          <w:rFonts w:cstheme="minorHAnsi"/>
          <w:sz w:val="24"/>
          <w:szCs w:val="24"/>
        </w:rPr>
        <w:t xml:space="preserve">the assertion of </w:t>
      </w:r>
      <w:r w:rsidR="00BB1508" w:rsidRPr="00431BA7">
        <w:rPr>
          <w:rFonts w:cstheme="minorHAnsi"/>
          <w:sz w:val="24"/>
          <w:szCs w:val="24"/>
        </w:rPr>
        <w:t>CBI claims, procedural or otherwise.</w:t>
      </w:r>
      <w:r w:rsidR="005B5EC6" w:rsidRPr="00431BA7">
        <w:rPr>
          <w:rFonts w:cstheme="minorHAnsi"/>
          <w:sz w:val="24"/>
          <w:szCs w:val="24"/>
        </w:rPr>
        <w:t xml:space="preserve"> However, </w:t>
      </w:r>
      <w:r w:rsidR="00BC3E28" w:rsidRPr="00431BA7">
        <w:rPr>
          <w:rFonts w:cstheme="minorHAnsi"/>
          <w:sz w:val="24"/>
          <w:szCs w:val="24"/>
        </w:rPr>
        <w:t>section 14(c)(1)(A)</w:t>
      </w:r>
      <w:r w:rsidR="00550ABF" w:rsidRPr="00431BA7">
        <w:rPr>
          <w:rFonts w:cstheme="minorHAnsi"/>
          <w:sz w:val="24"/>
          <w:szCs w:val="24"/>
        </w:rPr>
        <w:t xml:space="preserve"> does provide broad authority for </w:t>
      </w:r>
      <w:r w:rsidR="00276DFE" w:rsidRPr="00431BA7">
        <w:rPr>
          <w:rFonts w:cstheme="minorHAnsi"/>
          <w:sz w:val="24"/>
          <w:szCs w:val="24"/>
        </w:rPr>
        <w:t xml:space="preserve">EPA to </w:t>
      </w:r>
      <w:r w:rsidR="009D6553" w:rsidRPr="00431BA7">
        <w:rPr>
          <w:rFonts w:cstheme="minorHAnsi"/>
          <w:sz w:val="24"/>
          <w:szCs w:val="24"/>
        </w:rPr>
        <w:t xml:space="preserve">promulgate </w:t>
      </w:r>
      <w:r w:rsidR="00276DFE" w:rsidRPr="00431BA7">
        <w:rPr>
          <w:rFonts w:cstheme="minorHAnsi"/>
          <w:sz w:val="24"/>
          <w:szCs w:val="24"/>
        </w:rPr>
        <w:t>“rules regarding a claim for protection from</w:t>
      </w:r>
      <w:r w:rsidR="00860843" w:rsidRPr="00431BA7">
        <w:rPr>
          <w:rFonts w:cstheme="minorHAnsi"/>
          <w:sz w:val="24"/>
          <w:szCs w:val="24"/>
        </w:rPr>
        <w:t xml:space="preserve"> </w:t>
      </w:r>
      <w:r w:rsidR="00276DFE" w:rsidRPr="00431BA7">
        <w:rPr>
          <w:rFonts w:cstheme="minorHAnsi"/>
          <w:sz w:val="24"/>
          <w:szCs w:val="24"/>
        </w:rPr>
        <w:t>disclosure”</w:t>
      </w:r>
      <w:r w:rsidR="00860843" w:rsidRPr="00431BA7">
        <w:rPr>
          <w:rFonts w:cstheme="minorHAnsi"/>
          <w:sz w:val="24"/>
          <w:szCs w:val="24"/>
        </w:rPr>
        <w:t>.</w:t>
      </w:r>
      <w:r w:rsidR="00BB1508" w:rsidRPr="00431BA7">
        <w:rPr>
          <w:rFonts w:cstheme="minorHAnsi"/>
          <w:sz w:val="24"/>
          <w:szCs w:val="24"/>
        </w:rPr>
        <w:t xml:space="preserve">  </w:t>
      </w:r>
    </w:p>
    <w:p w14:paraId="2B5A2A7D" w14:textId="1E09DC38" w:rsidR="00BF0B4F" w:rsidRPr="00431BA7" w:rsidRDefault="00DB5459" w:rsidP="00276DFE">
      <w:pPr>
        <w:rPr>
          <w:rFonts w:cstheme="minorHAnsi"/>
          <w:sz w:val="24"/>
          <w:szCs w:val="24"/>
        </w:rPr>
      </w:pPr>
      <w:r w:rsidRPr="00431BA7">
        <w:rPr>
          <w:rFonts w:cstheme="minorHAnsi"/>
          <w:sz w:val="24"/>
          <w:szCs w:val="24"/>
        </w:rPr>
        <w:t>EPA is exercising its statutory authority</w:t>
      </w:r>
      <w:r w:rsidR="007710D2" w:rsidRPr="00431BA7">
        <w:rPr>
          <w:rFonts w:cstheme="minorHAnsi"/>
          <w:sz w:val="24"/>
          <w:szCs w:val="24"/>
        </w:rPr>
        <w:t xml:space="preserve"> in a manner that balances</w:t>
      </w:r>
      <w:r w:rsidR="00EB1DDB" w:rsidRPr="00431BA7">
        <w:rPr>
          <w:rFonts w:cstheme="minorHAnsi"/>
          <w:sz w:val="24"/>
          <w:szCs w:val="24"/>
        </w:rPr>
        <w:t xml:space="preserve"> </w:t>
      </w:r>
      <w:r w:rsidR="008017B4" w:rsidRPr="00431BA7">
        <w:rPr>
          <w:rFonts w:cstheme="minorHAnsi"/>
          <w:sz w:val="24"/>
          <w:szCs w:val="24"/>
        </w:rPr>
        <w:t>the interests at stake. While</w:t>
      </w:r>
      <w:r w:rsidR="00BB1508" w:rsidRPr="00431BA7">
        <w:rPr>
          <w:rFonts w:cstheme="minorHAnsi"/>
          <w:sz w:val="24"/>
          <w:szCs w:val="24"/>
        </w:rPr>
        <w:t xml:space="preserve"> permitting any period for correction</w:t>
      </w:r>
      <w:r w:rsidR="00C42826" w:rsidRPr="00431BA7">
        <w:rPr>
          <w:rFonts w:cstheme="minorHAnsi"/>
          <w:sz w:val="24"/>
          <w:szCs w:val="24"/>
        </w:rPr>
        <w:t xml:space="preserve"> </w:t>
      </w:r>
      <w:r w:rsidR="00F27DB3" w:rsidRPr="00431BA7">
        <w:rPr>
          <w:rFonts w:cstheme="minorHAnsi"/>
          <w:sz w:val="24"/>
          <w:szCs w:val="24"/>
        </w:rPr>
        <w:t>might complicate EPA’s task in meeting</w:t>
      </w:r>
      <w:r w:rsidR="00BB1508" w:rsidRPr="00431BA7">
        <w:rPr>
          <w:rFonts w:cstheme="minorHAnsi"/>
          <w:sz w:val="24"/>
          <w:szCs w:val="24"/>
        </w:rPr>
        <w:t xml:space="preserve"> the statutory time limit for conducting CBI reviews</w:t>
      </w:r>
      <w:r w:rsidR="002F6D71" w:rsidRPr="00431BA7">
        <w:rPr>
          <w:rFonts w:cstheme="minorHAnsi"/>
          <w:sz w:val="24"/>
          <w:szCs w:val="24"/>
        </w:rPr>
        <w:t>, the Agency believes that</w:t>
      </w:r>
      <w:r w:rsidR="00DE7C45" w:rsidRPr="00431BA7">
        <w:rPr>
          <w:rFonts w:cstheme="minorHAnsi"/>
          <w:sz w:val="24"/>
          <w:szCs w:val="24"/>
        </w:rPr>
        <w:t xml:space="preserve"> allowing</w:t>
      </w:r>
      <w:r w:rsidR="003C201F" w:rsidRPr="00431BA7">
        <w:rPr>
          <w:rFonts w:cstheme="minorHAnsi"/>
          <w:sz w:val="24"/>
          <w:szCs w:val="24"/>
        </w:rPr>
        <w:t xml:space="preserve"> a limited time to correct deficiencies</w:t>
      </w:r>
      <w:r w:rsidR="00EC4157" w:rsidRPr="00431BA7">
        <w:rPr>
          <w:rFonts w:cstheme="minorHAnsi"/>
          <w:sz w:val="24"/>
          <w:szCs w:val="24"/>
        </w:rPr>
        <w:t xml:space="preserve"> adequately protects</w:t>
      </w:r>
      <w:r w:rsidR="00DA42EC" w:rsidRPr="00431BA7">
        <w:rPr>
          <w:rFonts w:cstheme="minorHAnsi"/>
          <w:sz w:val="24"/>
          <w:szCs w:val="24"/>
        </w:rPr>
        <w:t xml:space="preserve"> companies</w:t>
      </w:r>
      <w:r w:rsidR="003D2B5D" w:rsidRPr="00431BA7">
        <w:rPr>
          <w:rFonts w:cstheme="minorHAnsi"/>
          <w:sz w:val="24"/>
          <w:szCs w:val="24"/>
        </w:rPr>
        <w:t xml:space="preserve"> who make innocent errors without</w:t>
      </w:r>
      <w:r w:rsidR="009C5864" w:rsidRPr="00431BA7">
        <w:rPr>
          <w:rFonts w:cstheme="minorHAnsi"/>
          <w:sz w:val="24"/>
          <w:szCs w:val="24"/>
        </w:rPr>
        <w:t xml:space="preserve"> adversely impacting </w:t>
      </w:r>
      <w:r w:rsidR="00176B28" w:rsidRPr="00431BA7">
        <w:rPr>
          <w:sz w:val="24"/>
          <w:szCs w:val="24"/>
        </w:rPr>
        <w:t>public access to information that is not entitled to CBI treatment</w:t>
      </w:r>
      <w:r w:rsidR="00BB1508" w:rsidRPr="00431BA7">
        <w:rPr>
          <w:rFonts w:cstheme="minorHAnsi"/>
          <w:sz w:val="24"/>
          <w:szCs w:val="24"/>
        </w:rPr>
        <w:t xml:space="preserve">. </w:t>
      </w:r>
      <w:r w:rsidR="006C239F" w:rsidRPr="00431BA7">
        <w:rPr>
          <w:rFonts w:cstheme="minorHAnsi"/>
          <w:sz w:val="24"/>
          <w:szCs w:val="24"/>
        </w:rPr>
        <w:t xml:space="preserve"> </w:t>
      </w:r>
      <w:r w:rsidR="00904823" w:rsidRPr="00431BA7">
        <w:rPr>
          <w:rFonts w:cstheme="minorHAnsi"/>
          <w:sz w:val="24"/>
          <w:szCs w:val="24"/>
        </w:rPr>
        <w:t xml:space="preserve"> </w:t>
      </w:r>
    </w:p>
    <w:p w14:paraId="5308C8A1" w14:textId="00071917" w:rsidR="008D2755" w:rsidRPr="00431BA7" w:rsidRDefault="001A0E56" w:rsidP="00276DFE">
      <w:pPr>
        <w:rPr>
          <w:rFonts w:cstheme="minorHAnsi"/>
          <w:sz w:val="24"/>
          <w:szCs w:val="24"/>
        </w:rPr>
      </w:pPr>
      <w:r w:rsidRPr="00431BA7">
        <w:rPr>
          <w:rFonts w:cstheme="minorHAnsi"/>
          <w:sz w:val="24"/>
          <w:szCs w:val="24"/>
        </w:rPr>
        <w:t>Drawing on its experiences to date with implementing the 2016 Lautenberg amendments and r</w:t>
      </w:r>
      <w:r w:rsidR="00904823" w:rsidRPr="00431BA7">
        <w:rPr>
          <w:rFonts w:cstheme="minorHAnsi"/>
          <w:sz w:val="24"/>
          <w:szCs w:val="24"/>
        </w:rPr>
        <w:t>ecognizing that some perceived deficiencies may be subject to reasonable (often technical) debate or simply more efficiently dealt with by permitting correction, rather than proceeding with a more punitive denial</w:t>
      </w:r>
      <w:r w:rsidRPr="00431BA7">
        <w:rPr>
          <w:rFonts w:cstheme="minorHAnsi"/>
          <w:sz w:val="24"/>
          <w:szCs w:val="24"/>
        </w:rPr>
        <w:t xml:space="preserve">, EPA developed the proposed deficiency provisions </w:t>
      </w:r>
      <w:proofErr w:type="gramStart"/>
      <w:r w:rsidRPr="00431BA7">
        <w:rPr>
          <w:rFonts w:cstheme="minorHAnsi"/>
          <w:sz w:val="24"/>
          <w:szCs w:val="24"/>
        </w:rPr>
        <w:t>as a means to</w:t>
      </w:r>
      <w:proofErr w:type="gramEnd"/>
      <w:r w:rsidRPr="00431BA7">
        <w:rPr>
          <w:rFonts w:cstheme="minorHAnsi"/>
          <w:sz w:val="24"/>
          <w:szCs w:val="24"/>
        </w:rPr>
        <w:t xml:space="preserve"> balance the competing concerns evident in the comments.</w:t>
      </w:r>
    </w:p>
    <w:p w14:paraId="6194FFBD" w14:textId="319E139D" w:rsidR="008D2755" w:rsidRPr="00431BA7" w:rsidRDefault="008D2755" w:rsidP="008D2755">
      <w:pPr>
        <w:rPr>
          <w:rFonts w:cstheme="minorHAnsi"/>
          <w:sz w:val="24"/>
          <w:szCs w:val="24"/>
        </w:rPr>
      </w:pPr>
      <w:r w:rsidRPr="00431BA7">
        <w:rPr>
          <w:rFonts w:cstheme="minorHAnsi"/>
          <w:b/>
          <w:bCs/>
          <w:sz w:val="24"/>
          <w:szCs w:val="24"/>
        </w:rPr>
        <w:t>Comment:</w:t>
      </w:r>
      <w:r w:rsidR="009517FF" w:rsidRPr="00431BA7">
        <w:rPr>
          <w:rFonts w:cstheme="minorHAnsi"/>
          <w:sz w:val="24"/>
          <w:szCs w:val="24"/>
        </w:rPr>
        <w:t xml:space="preserve">  Concerning CBI claim deficiencies</w:t>
      </w:r>
      <w:r w:rsidR="001C4E0F" w:rsidRPr="00431BA7">
        <w:rPr>
          <w:rFonts w:cstheme="minorHAnsi"/>
          <w:sz w:val="24"/>
          <w:szCs w:val="24"/>
        </w:rPr>
        <w:t xml:space="preserve"> generally</w:t>
      </w:r>
      <w:r w:rsidR="009517FF" w:rsidRPr="00431BA7">
        <w:rPr>
          <w:rFonts w:cstheme="minorHAnsi"/>
          <w:sz w:val="24"/>
          <w:szCs w:val="24"/>
        </w:rPr>
        <w:t xml:space="preserve">, a few commenters favored either not recognizing deficient claims as CBI claims and immediately releasing such information, or that </w:t>
      </w:r>
      <w:r w:rsidR="009517FF" w:rsidRPr="00431BA7">
        <w:rPr>
          <w:rFonts w:cstheme="minorHAnsi"/>
          <w:sz w:val="24"/>
          <w:szCs w:val="24"/>
        </w:rPr>
        <w:lastRenderedPageBreak/>
        <w:t>EPA should reject the entire submission as invalid.</w:t>
      </w:r>
      <w:r w:rsidR="001C4E0F" w:rsidRPr="00431BA7">
        <w:rPr>
          <w:rFonts w:cstheme="minorHAnsi"/>
          <w:sz w:val="24"/>
          <w:szCs w:val="24"/>
        </w:rPr>
        <w:t xml:space="preserve">  </w:t>
      </w:r>
      <w:r w:rsidR="009668C7" w:rsidRPr="00431BA7">
        <w:rPr>
          <w:rFonts w:cstheme="minorHAnsi"/>
          <w:sz w:val="24"/>
          <w:szCs w:val="24"/>
        </w:rPr>
        <w:t xml:space="preserve">One argued that EPA should “more aggressively” enforce procedural requirements for asserting claims (up to and including reviewing every claim to some degree).  </w:t>
      </w:r>
      <w:r w:rsidR="001C4E0F" w:rsidRPr="00431BA7">
        <w:rPr>
          <w:rFonts w:cstheme="minorHAnsi"/>
          <w:sz w:val="24"/>
          <w:szCs w:val="24"/>
        </w:rPr>
        <w:t xml:space="preserve">One commenter urged EPA to “reject” any submission for which the public copy redacts information that is not protected from disclosure under </w:t>
      </w:r>
      <w:r w:rsidR="0085548E" w:rsidRPr="00431BA7">
        <w:rPr>
          <w:rFonts w:cstheme="minorHAnsi"/>
          <w:sz w:val="24"/>
          <w:szCs w:val="24"/>
        </w:rPr>
        <w:t xml:space="preserve">section </w:t>
      </w:r>
      <w:proofErr w:type="gramStart"/>
      <w:r w:rsidR="001C4E0F" w:rsidRPr="00431BA7">
        <w:rPr>
          <w:rFonts w:cstheme="minorHAnsi"/>
          <w:sz w:val="24"/>
          <w:szCs w:val="24"/>
        </w:rPr>
        <w:t xml:space="preserve">14(b), </w:t>
      </w:r>
      <w:r w:rsidR="001515D8" w:rsidRPr="00431BA7">
        <w:rPr>
          <w:rFonts w:cstheme="minorHAnsi"/>
          <w:sz w:val="24"/>
          <w:szCs w:val="24"/>
        </w:rPr>
        <w:t>and</w:t>
      </w:r>
      <w:proofErr w:type="gramEnd"/>
      <w:r w:rsidR="001515D8" w:rsidRPr="00431BA7">
        <w:rPr>
          <w:rFonts w:cstheme="minorHAnsi"/>
          <w:sz w:val="24"/>
          <w:szCs w:val="24"/>
        </w:rPr>
        <w:t xml:space="preserve"> </w:t>
      </w:r>
      <w:r w:rsidR="001C4E0F" w:rsidRPr="00431BA7">
        <w:rPr>
          <w:rFonts w:cstheme="minorHAnsi"/>
          <w:sz w:val="24"/>
          <w:szCs w:val="24"/>
        </w:rPr>
        <w:t xml:space="preserve">was concerned that EPA would not make this conclusion until </w:t>
      </w:r>
      <w:r w:rsidR="0085548E" w:rsidRPr="00431BA7">
        <w:rPr>
          <w:rFonts w:cstheme="minorHAnsi"/>
          <w:sz w:val="24"/>
          <w:szCs w:val="24"/>
        </w:rPr>
        <w:t xml:space="preserve">section </w:t>
      </w:r>
      <w:r w:rsidR="001C4E0F" w:rsidRPr="00431BA7">
        <w:rPr>
          <w:rFonts w:cstheme="minorHAnsi"/>
          <w:sz w:val="24"/>
          <w:szCs w:val="24"/>
        </w:rPr>
        <w:t>14(g) CBI review was complete</w:t>
      </w:r>
      <w:r w:rsidR="00325905" w:rsidRPr="00431BA7">
        <w:rPr>
          <w:rFonts w:cstheme="minorHAnsi"/>
          <w:sz w:val="24"/>
          <w:szCs w:val="24"/>
        </w:rPr>
        <w:t>.  Th</w:t>
      </w:r>
      <w:r w:rsidR="001515D8" w:rsidRPr="00431BA7">
        <w:rPr>
          <w:rFonts w:cstheme="minorHAnsi"/>
          <w:sz w:val="24"/>
          <w:szCs w:val="24"/>
        </w:rPr>
        <w:t>is</w:t>
      </w:r>
      <w:r w:rsidR="00325905" w:rsidRPr="00431BA7">
        <w:rPr>
          <w:rFonts w:cstheme="minorHAnsi"/>
          <w:sz w:val="24"/>
          <w:szCs w:val="24"/>
        </w:rPr>
        <w:t xml:space="preserve"> commenter</w:t>
      </w:r>
      <w:r w:rsidR="001C4E0F" w:rsidRPr="00431BA7">
        <w:rPr>
          <w:rFonts w:cstheme="minorHAnsi"/>
          <w:sz w:val="24"/>
          <w:szCs w:val="24"/>
        </w:rPr>
        <w:t xml:space="preserve"> opined that the holding period specified in the deficiency provisions (</w:t>
      </w:r>
      <w:r w:rsidR="0085548E" w:rsidRPr="00431BA7">
        <w:rPr>
          <w:rFonts w:cstheme="minorHAnsi"/>
          <w:sz w:val="24"/>
          <w:szCs w:val="24"/>
        </w:rPr>
        <w:t xml:space="preserve">40 CFR </w:t>
      </w:r>
      <w:r w:rsidR="001C4E0F" w:rsidRPr="00431BA7">
        <w:rPr>
          <w:rFonts w:cstheme="minorHAnsi"/>
          <w:sz w:val="24"/>
          <w:szCs w:val="24"/>
        </w:rPr>
        <w:t>703.5(e)) would “reward” the submitter for their mistake</w:t>
      </w:r>
      <w:r w:rsidR="00325905" w:rsidRPr="00431BA7">
        <w:rPr>
          <w:rFonts w:cstheme="minorHAnsi"/>
          <w:sz w:val="24"/>
          <w:szCs w:val="24"/>
        </w:rPr>
        <w:t xml:space="preserve"> and that placing submissions on hold to address deficient claims denies public access to the information.  </w:t>
      </w:r>
    </w:p>
    <w:p w14:paraId="1A82E7BC" w14:textId="6E32D1A9" w:rsidR="00817F0C" w:rsidRPr="00431BA7" w:rsidRDefault="00817F0C" w:rsidP="008D2755">
      <w:pPr>
        <w:rPr>
          <w:rFonts w:cstheme="minorHAnsi"/>
          <w:sz w:val="24"/>
          <w:szCs w:val="24"/>
        </w:rPr>
      </w:pPr>
      <w:r w:rsidRPr="00431BA7">
        <w:rPr>
          <w:rFonts w:cstheme="minorHAnsi"/>
          <w:sz w:val="24"/>
          <w:szCs w:val="24"/>
        </w:rPr>
        <w:t>Source: -0050; -0049</w:t>
      </w:r>
    </w:p>
    <w:p w14:paraId="764ADD0C" w14:textId="77777777" w:rsidR="001C4E0F" w:rsidRPr="00431BA7" w:rsidRDefault="00060C02" w:rsidP="001C4E0F">
      <w:pPr>
        <w:rPr>
          <w:sz w:val="24"/>
          <w:szCs w:val="24"/>
        </w:rPr>
      </w:pPr>
      <w:r w:rsidRPr="00431BA7">
        <w:rPr>
          <w:b/>
          <w:sz w:val="24"/>
          <w:szCs w:val="24"/>
        </w:rPr>
        <w:t>Response</w:t>
      </w:r>
      <w:r w:rsidR="008D2755" w:rsidRPr="00431BA7">
        <w:rPr>
          <w:sz w:val="24"/>
          <w:szCs w:val="24"/>
        </w:rPr>
        <w:t>:</w:t>
      </w:r>
      <w:r w:rsidR="009517FF" w:rsidRPr="00431BA7">
        <w:rPr>
          <w:sz w:val="24"/>
          <w:szCs w:val="24"/>
        </w:rPr>
        <w:t xml:space="preserve">  EPA disagrees with these comments.</w:t>
      </w:r>
      <w:r w:rsidR="005670C7" w:rsidRPr="00431BA7">
        <w:rPr>
          <w:sz w:val="24"/>
          <w:szCs w:val="24"/>
        </w:rPr>
        <w:t xml:space="preserve">  </w:t>
      </w:r>
      <w:r w:rsidR="001C4E0F" w:rsidRPr="00431BA7">
        <w:rPr>
          <w:sz w:val="24"/>
          <w:szCs w:val="24"/>
        </w:rPr>
        <w:t>EPA requires submission of information required under TSCA and its regulations to perform the functions delegated by Congress to the Agency. Rejecting a submission because of inadequacies related to requirements for asserting a CBI claim might deprive the Agency of necessary information. The appropriate remedy for a deficient CBI claim lies with addressing the confidentiality deficiency, not with rejecting the underlying submission.</w:t>
      </w:r>
    </w:p>
    <w:p w14:paraId="5BAB6534" w14:textId="0926D67B" w:rsidR="001C4E0F" w:rsidRPr="00431BA7" w:rsidRDefault="005670C7" w:rsidP="008D2755">
      <w:pPr>
        <w:rPr>
          <w:sz w:val="24"/>
          <w:szCs w:val="24"/>
        </w:rPr>
      </w:pPr>
      <w:r w:rsidRPr="00431BA7">
        <w:rPr>
          <w:sz w:val="24"/>
          <w:szCs w:val="24"/>
        </w:rPr>
        <w:t>While safeguards built into CDX such as validation and automatic incorporation of certification statements are expected to significantly reduce instances where one of the TSCA</w:t>
      </w:r>
      <w:r w:rsidR="0085548E" w:rsidRPr="00431BA7">
        <w:rPr>
          <w:sz w:val="24"/>
          <w:szCs w:val="24"/>
        </w:rPr>
        <w:t xml:space="preserve"> section</w:t>
      </w:r>
      <w:r w:rsidRPr="00431BA7">
        <w:rPr>
          <w:sz w:val="24"/>
          <w:szCs w:val="24"/>
        </w:rPr>
        <w:t xml:space="preserve"> 14(c) requirements to assert a claim are missing entirely, EPA has observed that innocent mistakes and technical errors do happen from time to time, and that immediately releasing information for which a CBI claim had evidently been attempted would be unduly punitive</w:t>
      </w:r>
      <w:r w:rsidR="55B2E467" w:rsidRPr="00431BA7">
        <w:rPr>
          <w:sz w:val="24"/>
          <w:szCs w:val="24"/>
        </w:rPr>
        <w:t>.</w:t>
      </w:r>
      <w:r w:rsidRPr="00431BA7">
        <w:rPr>
          <w:sz w:val="24"/>
          <w:szCs w:val="24"/>
        </w:rPr>
        <w:t xml:space="preserve">  Further, some of the deficiencies that EPA identifies are not necessarily clear cut</w:t>
      </w:r>
      <w:r w:rsidR="0D5E62F1" w:rsidRPr="00431BA7">
        <w:rPr>
          <w:sz w:val="24"/>
          <w:szCs w:val="24"/>
        </w:rPr>
        <w:t>--</w:t>
      </w:r>
      <w:r w:rsidR="5F2D3D1C" w:rsidRPr="00431BA7">
        <w:rPr>
          <w:sz w:val="24"/>
          <w:szCs w:val="24"/>
        </w:rPr>
        <w:t>w</w:t>
      </w:r>
      <w:r w:rsidR="55B2E467" w:rsidRPr="00431BA7">
        <w:rPr>
          <w:sz w:val="24"/>
          <w:szCs w:val="24"/>
        </w:rPr>
        <w:t>hether</w:t>
      </w:r>
      <w:r w:rsidRPr="00431BA7">
        <w:rPr>
          <w:sz w:val="24"/>
          <w:szCs w:val="24"/>
        </w:rPr>
        <w:t xml:space="preserve"> a study report is appropriately or inappropriately redacted as it concerns a particular piece of information or diagram for instance, or whether a substantiation exemption applies to a particular piece of data.  Some reasonable technical debate may be appropriate in the case of some generic names as well.</w:t>
      </w:r>
      <w:r w:rsidR="00E86FDC" w:rsidRPr="00431BA7">
        <w:rPr>
          <w:sz w:val="24"/>
          <w:szCs w:val="24"/>
        </w:rPr>
        <w:t xml:space="preserve">  </w:t>
      </w:r>
      <w:r w:rsidR="001C4E0F" w:rsidRPr="00431BA7">
        <w:rPr>
          <w:sz w:val="24"/>
          <w:szCs w:val="24"/>
        </w:rPr>
        <w:t xml:space="preserve">The deficiency provisions allow for clarification of CBI claims and prompt resolution of any initial confusion or disputes over whether redacted information is in fact health and safety study data of the type restricted by section 14(b), and if so, whether that data reveals portion of mixture or process information.  </w:t>
      </w:r>
      <w:r w:rsidR="00E86FDC" w:rsidRPr="00431BA7">
        <w:rPr>
          <w:sz w:val="24"/>
          <w:szCs w:val="24"/>
        </w:rPr>
        <w:t xml:space="preserve">Rather than resolve these </w:t>
      </w:r>
      <w:r w:rsidR="000D5A06" w:rsidRPr="00431BA7">
        <w:rPr>
          <w:sz w:val="24"/>
          <w:szCs w:val="24"/>
        </w:rPr>
        <w:t>matters</w:t>
      </w:r>
      <w:r w:rsidR="00E86FDC" w:rsidRPr="00431BA7">
        <w:rPr>
          <w:sz w:val="24"/>
          <w:szCs w:val="24"/>
        </w:rPr>
        <w:t xml:space="preserve"> by litigation, or sink costs into reviewing, rejecting, and re-reviewing the same submission, the proposed rule included the deficiency provisions to allow a quick correction</w:t>
      </w:r>
      <w:r w:rsidR="00BB2B58" w:rsidRPr="00431BA7">
        <w:rPr>
          <w:sz w:val="24"/>
          <w:szCs w:val="24"/>
        </w:rPr>
        <w:t xml:space="preserve"> of what are likely to be otherwise valid or largely valid CBI claims.  </w:t>
      </w:r>
    </w:p>
    <w:p w14:paraId="6A81CCE1" w14:textId="7A6ECAB8" w:rsidR="001C4E0F" w:rsidRPr="00431BA7" w:rsidRDefault="001C4E0F" w:rsidP="001C4E0F">
      <w:pPr>
        <w:rPr>
          <w:sz w:val="24"/>
          <w:szCs w:val="24"/>
        </w:rPr>
      </w:pPr>
      <w:r w:rsidRPr="00431BA7">
        <w:rPr>
          <w:sz w:val="24"/>
          <w:szCs w:val="24"/>
        </w:rPr>
        <w:t xml:space="preserve">The brief holding period described in 40 CFR 703.5(e) does not serve to reward the submitter for having made an error.  </w:t>
      </w:r>
      <w:r w:rsidR="00BB2B58" w:rsidRPr="00431BA7">
        <w:rPr>
          <w:sz w:val="24"/>
          <w:szCs w:val="24"/>
        </w:rPr>
        <w:t>The correction period is necessarily short, owing to time constraints built into TSCA, like the 90</w:t>
      </w:r>
      <w:r w:rsidR="00FB1A77" w:rsidRPr="00431BA7">
        <w:rPr>
          <w:sz w:val="24"/>
          <w:szCs w:val="24"/>
        </w:rPr>
        <w:t>-</w:t>
      </w:r>
      <w:r w:rsidR="00BB2B58" w:rsidRPr="00431BA7">
        <w:rPr>
          <w:sz w:val="24"/>
          <w:szCs w:val="24"/>
        </w:rPr>
        <w:t>day period to review CBI claims and the 90</w:t>
      </w:r>
      <w:r w:rsidR="00FB1A77" w:rsidRPr="00431BA7">
        <w:rPr>
          <w:sz w:val="24"/>
          <w:szCs w:val="24"/>
        </w:rPr>
        <w:t>-</w:t>
      </w:r>
      <w:r w:rsidR="00BB2B58" w:rsidRPr="00431BA7">
        <w:rPr>
          <w:sz w:val="24"/>
          <w:szCs w:val="24"/>
        </w:rPr>
        <w:t xml:space="preserve">day period to review PMNs.  </w:t>
      </w:r>
      <w:r w:rsidRPr="00431BA7">
        <w:rPr>
          <w:sz w:val="24"/>
          <w:szCs w:val="24"/>
        </w:rPr>
        <w:t xml:space="preserve">Moreover, the hold described in the deficiency provisions applies to other time-limited reviews, such as section 5 review, meaning section 5 review periods would also be paused while the submitter is afforded a brief opportunity to correct the CBI deficiency. Assuming the deficiency is </w:t>
      </w:r>
      <w:proofErr w:type="gramStart"/>
      <w:r w:rsidRPr="00431BA7">
        <w:rPr>
          <w:sz w:val="24"/>
          <w:szCs w:val="24"/>
        </w:rPr>
        <w:t>corrected</w:t>
      </w:r>
      <w:proofErr w:type="gramEnd"/>
      <w:r w:rsidRPr="00431BA7">
        <w:rPr>
          <w:sz w:val="24"/>
          <w:szCs w:val="24"/>
        </w:rPr>
        <w:t xml:space="preserve"> and it is not necessary to deny the CBI claims, the public would have access to the information that was the subject of the deficiency at the same time the section 5 </w:t>
      </w:r>
      <w:r w:rsidRPr="00431BA7">
        <w:rPr>
          <w:sz w:val="24"/>
          <w:szCs w:val="24"/>
        </w:rPr>
        <w:lastRenderedPageBreak/>
        <w:t>review period resumes.  (If the claim must be denied, the information would become available only after EPA provides notification of the denial to the submitter and waits for a 30-day appeal period to run out.)  EPA expects that providing this opportunity to correct deficiencies, albeit a short one, will allow the correction or resolution of most deficiencies, while not overly delaying CBI review, new chemical review, or public access to information that is not entitled to CBI treatment.</w:t>
      </w:r>
    </w:p>
    <w:p w14:paraId="109DBA3E" w14:textId="77777777" w:rsidR="001C4E0F" w:rsidRPr="00431BA7" w:rsidRDefault="001C4E0F" w:rsidP="001C4E0F">
      <w:pPr>
        <w:rPr>
          <w:sz w:val="24"/>
          <w:szCs w:val="24"/>
        </w:rPr>
      </w:pPr>
      <w:r w:rsidRPr="00431BA7">
        <w:rPr>
          <w:sz w:val="24"/>
          <w:szCs w:val="24"/>
        </w:rPr>
        <w:t xml:space="preserve">It is anticipated that deficiencies with the public copy would usually be identified early in the section 14(g) process (certainly in the first 60 days), and not after 14(g) review is complete. </w:t>
      </w:r>
    </w:p>
    <w:p w14:paraId="77BE5C69" w14:textId="77777777" w:rsidR="001C4E0F" w:rsidRPr="00431BA7" w:rsidRDefault="001C4E0F" w:rsidP="008D2755">
      <w:pPr>
        <w:rPr>
          <w:sz w:val="24"/>
          <w:szCs w:val="24"/>
        </w:rPr>
      </w:pPr>
    </w:p>
    <w:p w14:paraId="24419CDD" w14:textId="23F24336" w:rsidR="008D2755" w:rsidRPr="00431BA7" w:rsidRDefault="008D2755" w:rsidP="008D2755">
      <w:pPr>
        <w:rPr>
          <w:rFonts w:cstheme="minorHAnsi"/>
          <w:sz w:val="24"/>
          <w:szCs w:val="24"/>
        </w:rPr>
      </w:pPr>
      <w:r w:rsidRPr="00431BA7">
        <w:rPr>
          <w:rFonts w:cstheme="minorHAnsi"/>
          <w:b/>
          <w:bCs/>
          <w:sz w:val="24"/>
          <w:szCs w:val="24"/>
        </w:rPr>
        <w:t>Comment</w:t>
      </w:r>
      <w:r w:rsidRPr="00431BA7">
        <w:rPr>
          <w:rFonts w:cstheme="minorHAnsi"/>
          <w:sz w:val="24"/>
          <w:szCs w:val="24"/>
        </w:rPr>
        <w:t>:</w:t>
      </w:r>
      <w:r w:rsidR="00014775" w:rsidRPr="00431BA7">
        <w:rPr>
          <w:rFonts w:cstheme="minorHAnsi"/>
          <w:sz w:val="24"/>
          <w:szCs w:val="24"/>
        </w:rPr>
        <w:t xml:space="preserve">  One commenter argued that deficiency review should have a strict deadline and be incorporated into “pre-screen” and that section 5 review shouldn’t start until prescreen is complete.</w:t>
      </w:r>
    </w:p>
    <w:p w14:paraId="20094157" w14:textId="17C2AD78" w:rsidR="00817F0C" w:rsidRPr="00431BA7" w:rsidRDefault="00817F0C" w:rsidP="008D2755">
      <w:pPr>
        <w:rPr>
          <w:rFonts w:cstheme="minorHAnsi"/>
          <w:sz w:val="24"/>
          <w:szCs w:val="24"/>
        </w:rPr>
      </w:pPr>
      <w:r w:rsidRPr="00431BA7">
        <w:rPr>
          <w:rFonts w:cstheme="minorHAnsi"/>
          <w:sz w:val="24"/>
          <w:szCs w:val="24"/>
        </w:rPr>
        <w:t>Source: -0050</w:t>
      </w:r>
    </w:p>
    <w:p w14:paraId="042B96B7" w14:textId="47597DD6" w:rsidR="008D2755" w:rsidRPr="00431BA7" w:rsidRDefault="00060C02" w:rsidP="008D2755">
      <w:pPr>
        <w:rPr>
          <w:rFonts w:cstheme="minorHAnsi"/>
          <w:sz w:val="24"/>
          <w:szCs w:val="24"/>
        </w:rPr>
      </w:pPr>
      <w:r w:rsidRPr="00431BA7">
        <w:rPr>
          <w:rFonts w:cstheme="minorHAnsi"/>
          <w:b/>
          <w:bCs/>
          <w:sz w:val="24"/>
          <w:szCs w:val="24"/>
        </w:rPr>
        <w:t>Response</w:t>
      </w:r>
      <w:r w:rsidR="008D2755" w:rsidRPr="00431BA7">
        <w:rPr>
          <w:rFonts w:cstheme="minorHAnsi"/>
          <w:sz w:val="24"/>
          <w:szCs w:val="24"/>
        </w:rPr>
        <w:t>:</w:t>
      </w:r>
      <w:r w:rsidR="00014775" w:rsidRPr="00431BA7">
        <w:rPr>
          <w:rFonts w:cstheme="minorHAnsi"/>
          <w:sz w:val="24"/>
          <w:szCs w:val="24"/>
        </w:rPr>
        <w:t xml:space="preserve">  EPA disagrees with this comment, in part.  While some deficiencies are readily apparent at the time of submission or very early in the submission process, more technical or obscure deficiencies may not be noted until a few weeks later.  A generic name or the assertion of an exemption from the substantiation requirement may not come under </w:t>
      </w:r>
      <w:proofErr w:type="gramStart"/>
      <w:r w:rsidR="00014775" w:rsidRPr="00431BA7">
        <w:rPr>
          <w:rFonts w:cstheme="minorHAnsi"/>
          <w:sz w:val="24"/>
          <w:szCs w:val="24"/>
        </w:rPr>
        <w:t>close scrutiny</w:t>
      </w:r>
      <w:proofErr w:type="gramEnd"/>
      <w:r w:rsidR="00014775" w:rsidRPr="00431BA7">
        <w:rPr>
          <w:rFonts w:cstheme="minorHAnsi"/>
          <w:sz w:val="24"/>
          <w:szCs w:val="24"/>
        </w:rPr>
        <w:t xml:space="preserve"> until several weeks after submission.  If EPA had to identify all deficiencies at “prescreen,” which is typically only a few days and mainly for </w:t>
      </w:r>
      <w:r w:rsidR="0085548E" w:rsidRPr="00431BA7">
        <w:rPr>
          <w:rFonts w:cstheme="minorHAnsi"/>
          <w:sz w:val="24"/>
          <w:szCs w:val="24"/>
        </w:rPr>
        <w:t xml:space="preserve">TSCA </w:t>
      </w:r>
      <w:r w:rsidR="00014775" w:rsidRPr="00431BA7">
        <w:rPr>
          <w:rFonts w:cstheme="minorHAnsi"/>
          <w:sz w:val="24"/>
          <w:szCs w:val="24"/>
        </w:rPr>
        <w:t>section 5 submission</w:t>
      </w:r>
      <w:r w:rsidR="0079672A" w:rsidRPr="00431BA7">
        <w:rPr>
          <w:rFonts w:cstheme="minorHAnsi"/>
          <w:sz w:val="24"/>
          <w:szCs w:val="24"/>
        </w:rPr>
        <w:t>s</w:t>
      </w:r>
      <w:r w:rsidR="00014775" w:rsidRPr="00431BA7">
        <w:rPr>
          <w:rFonts w:cstheme="minorHAnsi"/>
          <w:sz w:val="24"/>
          <w:szCs w:val="24"/>
        </w:rPr>
        <w:t xml:space="preserve">, the coverage and utility of the deficiency provisions would be significantly diminished while not </w:t>
      </w:r>
      <w:r w:rsidR="002267E6" w:rsidRPr="00431BA7">
        <w:rPr>
          <w:rFonts w:cstheme="minorHAnsi"/>
          <w:sz w:val="24"/>
          <w:szCs w:val="24"/>
        </w:rPr>
        <w:t>assuring that any data would be available any sooner.</w:t>
      </w:r>
    </w:p>
    <w:p w14:paraId="6EE305AF" w14:textId="61A5308C" w:rsidR="00325905" w:rsidRPr="00431BA7" w:rsidRDefault="00325905" w:rsidP="00325905">
      <w:pPr>
        <w:rPr>
          <w:rFonts w:cstheme="minorHAnsi"/>
          <w:sz w:val="24"/>
          <w:szCs w:val="24"/>
        </w:rPr>
      </w:pPr>
      <w:r w:rsidRPr="00431BA7">
        <w:rPr>
          <w:rFonts w:cstheme="minorHAnsi"/>
          <w:b/>
          <w:bCs/>
          <w:sz w:val="24"/>
          <w:szCs w:val="24"/>
        </w:rPr>
        <w:t>Comment</w:t>
      </w:r>
      <w:r w:rsidRPr="00431BA7">
        <w:rPr>
          <w:rFonts w:cstheme="minorHAnsi"/>
          <w:sz w:val="24"/>
          <w:szCs w:val="24"/>
        </w:rPr>
        <w:t xml:space="preserve">: Commenters also argued that the proposed 10-day correction period was insufficient and that 30-45 days would be more reasonable.  </w:t>
      </w:r>
    </w:p>
    <w:p w14:paraId="1B732283" w14:textId="487FBCF2" w:rsidR="00325905" w:rsidRPr="00431BA7" w:rsidRDefault="00325905" w:rsidP="00325905">
      <w:pPr>
        <w:rPr>
          <w:rFonts w:cstheme="minorHAnsi"/>
          <w:sz w:val="24"/>
          <w:szCs w:val="24"/>
        </w:rPr>
      </w:pPr>
      <w:r w:rsidRPr="00431BA7">
        <w:rPr>
          <w:rFonts w:cstheme="minorHAnsi"/>
          <w:sz w:val="24"/>
          <w:szCs w:val="24"/>
        </w:rPr>
        <w:t>Source: -0044; -0051; -0041; -0054; -0048; -0053</w:t>
      </w:r>
    </w:p>
    <w:p w14:paraId="4FED292B" w14:textId="7D8F8B71" w:rsidR="00AE0590" w:rsidRPr="00431BA7" w:rsidRDefault="009668C7" w:rsidP="00AE0590">
      <w:pPr>
        <w:rPr>
          <w:rFonts w:cstheme="minorHAnsi"/>
          <w:sz w:val="24"/>
          <w:szCs w:val="24"/>
        </w:rPr>
      </w:pPr>
      <w:r w:rsidRPr="00431BA7">
        <w:rPr>
          <w:rFonts w:cstheme="minorHAnsi"/>
          <w:b/>
          <w:bCs/>
          <w:sz w:val="24"/>
          <w:szCs w:val="24"/>
        </w:rPr>
        <w:t>Response</w:t>
      </w:r>
      <w:r w:rsidRPr="00431BA7">
        <w:rPr>
          <w:rFonts w:cstheme="minorHAnsi"/>
          <w:sz w:val="24"/>
          <w:szCs w:val="24"/>
        </w:rPr>
        <w:t xml:space="preserve">:  </w:t>
      </w:r>
      <w:r w:rsidR="00AE0590" w:rsidRPr="00431BA7">
        <w:rPr>
          <w:rFonts w:cstheme="minorHAnsi"/>
          <w:sz w:val="24"/>
          <w:szCs w:val="24"/>
        </w:rPr>
        <w:t xml:space="preserve">TSCA does not require that EPA allow submitters to correct deficiencies with the assertion of CBI claims, procedural or otherwise. However, </w:t>
      </w:r>
      <w:r w:rsidR="0085548E" w:rsidRPr="00431BA7">
        <w:rPr>
          <w:rFonts w:cstheme="minorHAnsi"/>
          <w:sz w:val="24"/>
          <w:szCs w:val="24"/>
        </w:rPr>
        <w:t xml:space="preserve">TSCA </w:t>
      </w:r>
      <w:r w:rsidR="00AE0590" w:rsidRPr="00431BA7">
        <w:rPr>
          <w:rFonts w:cstheme="minorHAnsi"/>
          <w:sz w:val="24"/>
          <w:szCs w:val="24"/>
        </w:rPr>
        <w:t xml:space="preserve">section 14(c)(1)(A) does provide broad authority for EPA to promulgate “rules regarding a claim for protection from disclosure”.  </w:t>
      </w:r>
    </w:p>
    <w:p w14:paraId="528A9F92" w14:textId="39EEE58A" w:rsidR="00325905" w:rsidRPr="00431BA7" w:rsidRDefault="00AE0590" w:rsidP="00AE0590">
      <w:pPr>
        <w:rPr>
          <w:rFonts w:cstheme="minorHAnsi"/>
          <w:sz w:val="24"/>
          <w:szCs w:val="24"/>
        </w:rPr>
      </w:pPr>
      <w:r w:rsidRPr="00431BA7">
        <w:rPr>
          <w:rFonts w:cstheme="minorHAnsi"/>
          <w:sz w:val="24"/>
          <w:szCs w:val="24"/>
        </w:rPr>
        <w:t xml:space="preserve">EPA is exercising its statutory authority in a manner that balances the interests at stake. While permitting any period for correction might complicate EPA’s task in meeting the statutory time limit for conducting CBI reviews, the Agency believes that allowing a limited time to correct deficiencies adequately protects companies who make innocent errors without adversely impacting </w:t>
      </w:r>
      <w:r w:rsidR="00176B28" w:rsidRPr="00431BA7">
        <w:rPr>
          <w:sz w:val="24"/>
          <w:szCs w:val="24"/>
        </w:rPr>
        <w:t>public access to information that is not entitled to CBI treatment</w:t>
      </w:r>
      <w:r w:rsidRPr="00431BA7">
        <w:rPr>
          <w:rFonts w:cstheme="minorHAnsi"/>
          <w:sz w:val="24"/>
          <w:szCs w:val="24"/>
        </w:rPr>
        <w:t xml:space="preserve">.  </w:t>
      </w:r>
    </w:p>
    <w:p w14:paraId="57CA9D04" w14:textId="1A705263" w:rsidR="00325905" w:rsidRPr="00431BA7" w:rsidRDefault="00325905" w:rsidP="00325905">
      <w:pPr>
        <w:rPr>
          <w:rFonts w:cstheme="minorHAnsi"/>
          <w:sz w:val="24"/>
          <w:szCs w:val="24"/>
        </w:rPr>
      </w:pPr>
      <w:r w:rsidRPr="00431BA7">
        <w:rPr>
          <w:rFonts w:cstheme="minorHAnsi"/>
          <w:b/>
          <w:bCs/>
          <w:sz w:val="24"/>
          <w:szCs w:val="24"/>
        </w:rPr>
        <w:t>Comment</w:t>
      </w:r>
      <w:r w:rsidRPr="00431BA7">
        <w:rPr>
          <w:rFonts w:cstheme="minorHAnsi"/>
          <w:sz w:val="24"/>
          <w:szCs w:val="24"/>
        </w:rPr>
        <w:t xml:space="preserve">: </w:t>
      </w:r>
      <w:r w:rsidR="009668C7" w:rsidRPr="00431BA7">
        <w:rPr>
          <w:rFonts w:cstheme="minorHAnsi"/>
          <w:sz w:val="24"/>
          <w:szCs w:val="24"/>
        </w:rPr>
        <w:t>C</w:t>
      </w:r>
      <w:r w:rsidRPr="00431BA7">
        <w:rPr>
          <w:rFonts w:cstheme="minorHAnsi"/>
          <w:sz w:val="24"/>
          <w:szCs w:val="24"/>
        </w:rPr>
        <w:t>ommenters suggested that EPA should send multiple notices of the deficiency, by mail, email, and other repetitive notifications, in addition to the proposed notice via CDX.</w:t>
      </w:r>
    </w:p>
    <w:p w14:paraId="12F68DAE" w14:textId="48AFFF26" w:rsidR="00325905" w:rsidRPr="00431BA7" w:rsidRDefault="00325905" w:rsidP="00325905">
      <w:pPr>
        <w:rPr>
          <w:rFonts w:cstheme="minorHAnsi"/>
          <w:sz w:val="24"/>
          <w:szCs w:val="24"/>
        </w:rPr>
      </w:pPr>
      <w:r w:rsidRPr="00431BA7">
        <w:rPr>
          <w:rFonts w:cstheme="minorHAnsi"/>
          <w:sz w:val="24"/>
          <w:szCs w:val="24"/>
        </w:rPr>
        <w:lastRenderedPageBreak/>
        <w:t>Source: -0044; -0051; -0041; -0052; -0053</w:t>
      </w:r>
    </w:p>
    <w:p w14:paraId="67161202" w14:textId="6D344CAE" w:rsidR="00325905" w:rsidRPr="00431BA7" w:rsidRDefault="009668C7" w:rsidP="00325905">
      <w:pPr>
        <w:rPr>
          <w:rFonts w:cstheme="minorHAnsi"/>
          <w:sz w:val="24"/>
          <w:szCs w:val="24"/>
        </w:rPr>
      </w:pPr>
      <w:r w:rsidRPr="00431BA7">
        <w:rPr>
          <w:rFonts w:cstheme="minorHAnsi"/>
          <w:b/>
          <w:bCs/>
          <w:sz w:val="24"/>
          <w:szCs w:val="24"/>
        </w:rPr>
        <w:t>Response</w:t>
      </w:r>
      <w:r w:rsidRPr="00431BA7">
        <w:rPr>
          <w:rFonts w:cstheme="minorHAnsi"/>
          <w:sz w:val="24"/>
          <w:szCs w:val="24"/>
        </w:rPr>
        <w:t xml:space="preserve">:  </w:t>
      </w:r>
      <w:r w:rsidR="00C66B6C" w:rsidRPr="00431BA7">
        <w:rPr>
          <w:rFonts w:cstheme="minorHAnsi"/>
          <w:sz w:val="24"/>
          <w:szCs w:val="24"/>
        </w:rPr>
        <w:t>EPA disagrees with these comments, to the extent they argue for additional notice by mail, in addition to CDX notification and email.  See Unit 13 for a more detailed discussion of the final rule’s provisions on electronic notices.</w:t>
      </w:r>
    </w:p>
    <w:p w14:paraId="76B216FE" w14:textId="77777777" w:rsidR="001C4E0F" w:rsidRPr="00431BA7" w:rsidRDefault="001C4E0F" w:rsidP="001C4E0F">
      <w:pPr>
        <w:rPr>
          <w:rFonts w:cstheme="minorHAnsi"/>
          <w:sz w:val="24"/>
          <w:szCs w:val="24"/>
        </w:rPr>
      </w:pPr>
      <w:r w:rsidRPr="00431BA7">
        <w:rPr>
          <w:rFonts w:cstheme="minorHAnsi"/>
          <w:b/>
          <w:bCs/>
          <w:sz w:val="24"/>
          <w:szCs w:val="24"/>
        </w:rPr>
        <w:t>Comment</w:t>
      </w:r>
      <w:r w:rsidRPr="00431BA7">
        <w:rPr>
          <w:rFonts w:cstheme="minorHAnsi"/>
          <w:sz w:val="24"/>
          <w:szCs w:val="24"/>
        </w:rPr>
        <w:t>: A commenter suggested that EPA should permit substantiation as much as 45 days after submission.</w:t>
      </w:r>
    </w:p>
    <w:p w14:paraId="29290D94" w14:textId="77777777" w:rsidR="001C4E0F" w:rsidRPr="00431BA7" w:rsidRDefault="001C4E0F" w:rsidP="001C4E0F">
      <w:pPr>
        <w:rPr>
          <w:rFonts w:cstheme="minorHAnsi"/>
          <w:sz w:val="24"/>
          <w:szCs w:val="24"/>
        </w:rPr>
      </w:pPr>
      <w:r w:rsidRPr="00431BA7">
        <w:rPr>
          <w:rFonts w:cstheme="minorHAnsi"/>
          <w:sz w:val="24"/>
          <w:szCs w:val="24"/>
        </w:rPr>
        <w:t>Source: -0054</w:t>
      </w:r>
    </w:p>
    <w:p w14:paraId="26FAB19F" w14:textId="0691DF45" w:rsidR="001C4E0F" w:rsidRPr="00431BA7" w:rsidRDefault="001C4E0F" w:rsidP="001C4E0F">
      <w:pPr>
        <w:rPr>
          <w:rFonts w:cstheme="minorHAnsi"/>
          <w:sz w:val="24"/>
          <w:szCs w:val="24"/>
        </w:rPr>
      </w:pPr>
      <w:r w:rsidRPr="00431BA7">
        <w:rPr>
          <w:rFonts w:cstheme="minorHAnsi"/>
          <w:b/>
          <w:bCs/>
          <w:sz w:val="24"/>
          <w:szCs w:val="24"/>
        </w:rPr>
        <w:t>Response</w:t>
      </w:r>
      <w:r w:rsidRPr="00431BA7">
        <w:rPr>
          <w:rFonts w:cstheme="minorHAnsi"/>
          <w:sz w:val="24"/>
          <w:szCs w:val="24"/>
        </w:rPr>
        <w:t xml:space="preserve">:  Except in the case of information that is exempt from upfront substantiation requirements under </w:t>
      </w:r>
      <w:r w:rsidR="0085548E" w:rsidRPr="00431BA7">
        <w:rPr>
          <w:rFonts w:cstheme="minorHAnsi"/>
          <w:sz w:val="24"/>
          <w:szCs w:val="24"/>
        </w:rPr>
        <w:t xml:space="preserve">section </w:t>
      </w:r>
      <w:r w:rsidRPr="00431BA7">
        <w:rPr>
          <w:rFonts w:cstheme="minorHAnsi"/>
          <w:sz w:val="24"/>
          <w:szCs w:val="24"/>
        </w:rPr>
        <w:t>14(c)(2), TSCA requires substantiation to accompany each submission with a CBI claim.  This view was elaborated in a previous FRN</w:t>
      </w:r>
      <w:r w:rsidRPr="00431BA7">
        <w:rPr>
          <w:sz w:val="24"/>
          <w:szCs w:val="24"/>
        </w:rPr>
        <w:t xml:space="preserve"> (</w:t>
      </w:r>
      <w:r w:rsidRPr="00431BA7">
        <w:rPr>
          <w:rFonts w:cstheme="minorHAnsi"/>
          <w:i/>
          <w:iCs/>
          <w:sz w:val="24"/>
          <w:szCs w:val="24"/>
        </w:rPr>
        <w:t>Statutory Requirements for Substantiation of Confidential Business Information (CBI) claims Under the Toxic Substances Control Act (TSCA)</w:t>
      </w:r>
      <w:r w:rsidRPr="00431BA7">
        <w:rPr>
          <w:rFonts w:cstheme="minorHAnsi"/>
          <w:sz w:val="24"/>
          <w:szCs w:val="24"/>
        </w:rPr>
        <w:t xml:space="preserve"> 82 FR 6522 (January 19, 2017)) and remains EPA’s interpretation of the section 14(c) requirements, particularly given that section 14(g) provides a time limit for conducting CBI reviews that EPA can generally meet only by commencing CBI review soon after submission.  Given the unique circumstances surrounding in-person TSCA inspections (e.g., EPA inspectors may arrive unannounced or with relatively short notice, collect documentation unknown in scope or volume in advance, and/or take photographs and conduct employee interviews the scope and content of which would be unknown in advance), EPA did propose </w:t>
      </w:r>
      <w:r w:rsidR="009668C7" w:rsidRPr="00431BA7">
        <w:rPr>
          <w:rFonts w:cstheme="minorHAnsi"/>
          <w:sz w:val="24"/>
          <w:szCs w:val="24"/>
        </w:rPr>
        <w:t>some flexibility</w:t>
      </w:r>
      <w:r w:rsidRPr="00431BA7">
        <w:rPr>
          <w:rFonts w:cstheme="minorHAnsi"/>
          <w:sz w:val="24"/>
          <w:szCs w:val="24"/>
        </w:rPr>
        <w:t xml:space="preserve"> from the usual requirement to provide substantiation concurrent with submission in these cases and EPA still believes this </w:t>
      </w:r>
      <w:r w:rsidR="009668C7" w:rsidRPr="00431BA7">
        <w:rPr>
          <w:rFonts w:cstheme="minorHAnsi"/>
          <w:sz w:val="24"/>
          <w:szCs w:val="24"/>
        </w:rPr>
        <w:t>flexibility</w:t>
      </w:r>
      <w:r w:rsidRPr="00431BA7">
        <w:rPr>
          <w:rFonts w:cstheme="minorHAnsi"/>
          <w:sz w:val="24"/>
          <w:szCs w:val="24"/>
        </w:rPr>
        <w:t xml:space="preserve"> is appropriate.</w:t>
      </w:r>
    </w:p>
    <w:p w14:paraId="7B445BED" w14:textId="7D78B1F0" w:rsidR="008D2755" w:rsidRPr="00431BA7" w:rsidRDefault="008D2755" w:rsidP="008D2755">
      <w:pPr>
        <w:rPr>
          <w:rFonts w:cstheme="minorHAnsi"/>
          <w:sz w:val="24"/>
          <w:szCs w:val="24"/>
        </w:rPr>
      </w:pPr>
      <w:r w:rsidRPr="00431BA7">
        <w:rPr>
          <w:rFonts w:cstheme="minorHAnsi"/>
          <w:b/>
          <w:bCs/>
          <w:sz w:val="24"/>
          <w:szCs w:val="24"/>
        </w:rPr>
        <w:t>Comment:</w:t>
      </w:r>
      <w:r w:rsidR="00DB705B" w:rsidRPr="00431BA7">
        <w:rPr>
          <w:rFonts w:cstheme="minorHAnsi"/>
          <w:sz w:val="24"/>
          <w:szCs w:val="24"/>
        </w:rPr>
        <w:t xml:space="preserve"> One commenter advocated reviewing all generic names provided with PMNs and rejecting the PMN if the generic name is found to be inadequate.</w:t>
      </w:r>
    </w:p>
    <w:p w14:paraId="1A4F3974" w14:textId="51F8E51E" w:rsidR="00817F0C" w:rsidRPr="00431BA7" w:rsidRDefault="00817F0C" w:rsidP="008D2755">
      <w:pPr>
        <w:rPr>
          <w:rFonts w:cstheme="minorHAnsi"/>
          <w:sz w:val="24"/>
          <w:szCs w:val="24"/>
        </w:rPr>
      </w:pPr>
      <w:r w:rsidRPr="00431BA7">
        <w:rPr>
          <w:rFonts w:cstheme="minorHAnsi"/>
          <w:sz w:val="24"/>
          <w:szCs w:val="24"/>
        </w:rPr>
        <w:t>Source: -0050</w:t>
      </w:r>
    </w:p>
    <w:p w14:paraId="088795C7" w14:textId="49A9A386" w:rsidR="008D2755" w:rsidRPr="00431BA7" w:rsidRDefault="00060C02" w:rsidP="008D2755">
      <w:pPr>
        <w:rPr>
          <w:rFonts w:cstheme="minorHAnsi"/>
          <w:sz w:val="24"/>
          <w:szCs w:val="24"/>
        </w:rPr>
      </w:pPr>
      <w:r w:rsidRPr="00431BA7">
        <w:rPr>
          <w:rFonts w:cstheme="minorHAnsi"/>
          <w:b/>
          <w:bCs/>
          <w:sz w:val="24"/>
          <w:szCs w:val="24"/>
        </w:rPr>
        <w:t>Response</w:t>
      </w:r>
      <w:r w:rsidR="008D2755" w:rsidRPr="00431BA7">
        <w:rPr>
          <w:rFonts w:cstheme="minorHAnsi"/>
          <w:sz w:val="24"/>
          <w:szCs w:val="24"/>
        </w:rPr>
        <w:t>:</w:t>
      </w:r>
      <w:r w:rsidR="00DB705B" w:rsidRPr="00431BA7">
        <w:rPr>
          <w:rFonts w:cstheme="minorHAnsi"/>
          <w:sz w:val="24"/>
          <w:szCs w:val="24"/>
        </w:rPr>
        <w:t xml:space="preserve"> EPA agrees with this comment</w:t>
      </w:r>
      <w:r w:rsidR="00FB3867" w:rsidRPr="00431BA7">
        <w:rPr>
          <w:rFonts w:cstheme="minorHAnsi"/>
          <w:sz w:val="24"/>
          <w:szCs w:val="24"/>
        </w:rPr>
        <w:t xml:space="preserve">. </w:t>
      </w:r>
      <w:r w:rsidR="00DB705B" w:rsidRPr="00431BA7">
        <w:rPr>
          <w:rFonts w:cstheme="minorHAnsi"/>
          <w:sz w:val="24"/>
          <w:szCs w:val="24"/>
        </w:rPr>
        <w:t xml:space="preserve"> Indeed, all generic names are reviewed at prescreen for compliance with the PMN regulations</w:t>
      </w:r>
      <w:r w:rsidR="00FB3867" w:rsidRPr="00431BA7">
        <w:rPr>
          <w:rFonts w:cstheme="minorHAnsi"/>
          <w:sz w:val="24"/>
          <w:szCs w:val="24"/>
        </w:rPr>
        <w:t xml:space="preserve"> and it is not uncommon for a PMN to be rejected shortly after submission due to problems with the chemical identity, including an inadequate generic name</w:t>
      </w:r>
      <w:r w:rsidR="00DB705B" w:rsidRPr="00431BA7">
        <w:rPr>
          <w:rFonts w:cstheme="minorHAnsi"/>
          <w:sz w:val="24"/>
          <w:szCs w:val="24"/>
        </w:rPr>
        <w:t xml:space="preserve">.  Further, the generic names of chemicals that go on to be commercialized are reviewed for compliance with both EPA’s generic name guidance and with TSCA section 14(c) at the point a </w:t>
      </w:r>
      <w:r w:rsidR="006037E1" w:rsidRPr="00431BA7">
        <w:rPr>
          <w:rFonts w:cstheme="minorHAnsi"/>
          <w:sz w:val="24"/>
          <w:szCs w:val="24"/>
        </w:rPr>
        <w:t>NOC</w:t>
      </w:r>
      <w:r w:rsidR="00DB705B" w:rsidRPr="00431BA7">
        <w:rPr>
          <w:rFonts w:cstheme="minorHAnsi"/>
          <w:sz w:val="24"/>
          <w:szCs w:val="24"/>
        </w:rPr>
        <w:t xml:space="preserve"> is filed</w:t>
      </w:r>
      <w:r w:rsidR="006037E1" w:rsidRPr="00431BA7">
        <w:rPr>
          <w:rFonts w:cstheme="minorHAnsi"/>
          <w:sz w:val="24"/>
          <w:szCs w:val="24"/>
        </w:rPr>
        <w:t xml:space="preserve"> and trigger</w:t>
      </w:r>
      <w:r w:rsidR="00FB3867" w:rsidRPr="00431BA7">
        <w:rPr>
          <w:rFonts w:cstheme="minorHAnsi"/>
          <w:sz w:val="24"/>
          <w:szCs w:val="24"/>
        </w:rPr>
        <w:t>s</w:t>
      </w:r>
      <w:r w:rsidR="006037E1" w:rsidRPr="00431BA7">
        <w:rPr>
          <w:rFonts w:cstheme="minorHAnsi"/>
          <w:sz w:val="24"/>
          <w:szCs w:val="24"/>
        </w:rPr>
        <w:t xml:space="preserve"> section 14(g) CBI review requirements</w:t>
      </w:r>
      <w:r w:rsidR="00DB705B" w:rsidRPr="00431BA7">
        <w:rPr>
          <w:rFonts w:cstheme="minorHAnsi"/>
          <w:sz w:val="24"/>
          <w:szCs w:val="24"/>
        </w:rPr>
        <w:t>.  EPA does not, however, conduct a CBI review under section 14(g) for chemical identit</w:t>
      </w:r>
      <w:r w:rsidR="006037E1" w:rsidRPr="00431BA7">
        <w:rPr>
          <w:rFonts w:cstheme="minorHAnsi"/>
          <w:sz w:val="24"/>
          <w:szCs w:val="24"/>
        </w:rPr>
        <w:t>y claims made in PMNs</w:t>
      </w:r>
      <w:r w:rsidR="00DB705B" w:rsidRPr="00431BA7">
        <w:rPr>
          <w:rFonts w:cstheme="minorHAnsi"/>
          <w:sz w:val="24"/>
          <w:szCs w:val="24"/>
        </w:rPr>
        <w:t xml:space="preserve">, as prior to commercialization, chemical identity claims are exempt from the substantiation requirement under section 14(c) and thus excluded from routine CBI review under section 14(g).  </w:t>
      </w:r>
      <w:r w:rsidR="006037E1" w:rsidRPr="00431BA7">
        <w:rPr>
          <w:rFonts w:cstheme="minorHAnsi"/>
          <w:sz w:val="24"/>
          <w:szCs w:val="24"/>
        </w:rPr>
        <w:t>Such claims ARE reviewable at either EPA’s discretion or as required under certain provisions of TSCA section 14(f).</w:t>
      </w:r>
    </w:p>
    <w:p w14:paraId="3E38C799" w14:textId="106D28A9" w:rsidR="00846007" w:rsidRPr="00431BA7" w:rsidRDefault="00846007" w:rsidP="008D2755">
      <w:pPr>
        <w:rPr>
          <w:rFonts w:cstheme="minorHAnsi"/>
          <w:sz w:val="24"/>
          <w:szCs w:val="24"/>
        </w:rPr>
      </w:pPr>
      <w:r w:rsidRPr="00431BA7">
        <w:rPr>
          <w:rFonts w:cstheme="minorHAnsi"/>
          <w:b/>
          <w:bCs/>
          <w:sz w:val="24"/>
          <w:szCs w:val="24"/>
        </w:rPr>
        <w:t>Comment</w:t>
      </w:r>
      <w:r w:rsidRPr="00431BA7">
        <w:rPr>
          <w:rFonts w:cstheme="minorHAnsi"/>
          <w:sz w:val="24"/>
          <w:szCs w:val="24"/>
        </w:rPr>
        <w:t>:  One commenter argued that EPA should reject submissions that included overly generic use descriptions and/or consider such submissions deficient.</w:t>
      </w:r>
    </w:p>
    <w:p w14:paraId="1B90B741" w14:textId="77777777" w:rsidR="00415B37" w:rsidRPr="00431BA7" w:rsidRDefault="00415B37" w:rsidP="00415B37">
      <w:pPr>
        <w:rPr>
          <w:rFonts w:cstheme="minorHAnsi"/>
          <w:sz w:val="24"/>
          <w:szCs w:val="24"/>
        </w:rPr>
      </w:pPr>
      <w:r w:rsidRPr="00431BA7">
        <w:rPr>
          <w:rFonts w:cstheme="minorHAnsi"/>
          <w:sz w:val="24"/>
          <w:szCs w:val="24"/>
        </w:rPr>
        <w:lastRenderedPageBreak/>
        <w:t>Source: -0050</w:t>
      </w:r>
    </w:p>
    <w:p w14:paraId="4F16D3EA" w14:textId="420DF0BB" w:rsidR="00415B37" w:rsidRPr="00431BA7" w:rsidRDefault="00415B37" w:rsidP="008D2755">
      <w:pPr>
        <w:rPr>
          <w:rFonts w:cstheme="minorHAnsi"/>
          <w:sz w:val="24"/>
          <w:szCs w:val="24"/>
        </w:rPr>
      </w:pPr>
      <w:r w:rsidRPr="00431BA7">
        <w:rPr>
          <w:rFonts w:cstheme="minorHAnsi"/>
          <w:b/>
          <w:bCs/>
          <w:sz w:val="24"/>
          <w:szCs w:val="24"/>
        </w:rPr>
        <w:t>Response</w:t>
      </w:r>
      <w:r w:rsidRPr="00431BA7">
        <w:rPr>
          <w:rFonts w:cstheme="minorHAnsi"/>
          <w:sz w:val="24"/>
          <w:szCs w:val="24"/>
        </w:rPr>
        <w:t>: This comment is outside the scope of the proposed rule.  Generic use description requirements are described in individual reporting rules and can take several forms (whether a free-text description or based on use codes set out in individual reporting rules</w:t>
      </w:r>
      <w:r w:rsidR="0085548E" w:rsidRPr="00431BA7">
        <w:rPr>
          <w:rFonts w:cstheme="minorHAnsi"/>
          <w:sz w:val="24"/>
          <w:szCs w:val="24"/>
        </w:rPr>
        <w:t>)</w:t>
      </w:r>
      <w:r w:rsidRPr="00431BA7">
        <w:rPr>
          <w:rFonts w:cstheme="minorHAnsi"/>
          <w:sz w:val="24"/>
          <w:szCs w:val="24"/>
        </w:rPr>
        <w:t>.  EPA did not propose nor is it finalizing with this rule any changes to those pre-existing reporting requirements.</w:t>
      </w:r>
    </w:p>
    <w:p w14:paraId="6A12E3A4" w14:textId="6DACB830" w:rsidR="00B73B11" w:rsidRPr="00431BA7" w:rsidRDefault="00B73B11" w:rsidP="004F0AEF">
      <w:pPr>
        <w:pStyle w:val="Heading2"/>
        <w:numPr>
          <w:ilvl w:val="0"/>
          <w:numId w:val="0"/>
        </w:numPr>
        <w:ind w:left="360" w:hanging="360"/>
      </w:pPr>
      <w:bookmarkStart w:id="17" w:name="_Toc132901189"/>
      <w:r w:rsidRPr="00431BA7">
        <w:t>Unit 1</w:t>
      </w:r>
      <w:r w:rsidR="00E401BF" w:rsidRPr="00431BA7">
        <w:t>1</w:t>
      </w:r>
      <w:r w:rsidRPr="00431BA7">
        <w:t>: Electronic Reporting (</w:t>
      </w:r>
      <w:r w:rsidR="00B6654E" w:rsidRPr="00431BA7">
        <w:t xml:space="preserve">40 CFR </w:t>
      </w:r>
      <w:r w:rsidRPr="00431BA7">
        <w:t>703.5(f))</w:t>
      </w:r>
      <w:bookmarkEnd w:id="17"/>
    </w:p>
    <w:p w14:paraId="5D349ACB" w14:textId="551B85AD" w:rsidR="008D2755" w:rsidRPr="00431BA7" w:rsidRDefault="008D2755" w:rsidP="008D2755">
      <w:pPr>
        <w:rPr>
          <w:rFonts w:cstheme="minorHAnsi"/>
          <w:sz w:val="24"/>
          <w:szCs w:val="24"/>
        </w:rPr>
      </w:pPr>
      <w:r w:rsidRPr="00431BA7">
        <w:rPr>
          <w:rFonts w:cstheme="minorHAnsi"/>
          <w:b/>
          <w:bCs/>
          <w:sz w:val="24"/>
          <w:szCs w:val="24"/>
        </w:rPr>
        <w:t>Comment:</w:t>
      </w:r>
      <w:r w:rsidR="001318DE" w:rsidRPr="00431BA7">
        <w:rPr>
          <w:rFonts w:cstheme="minorHAnsi"/>
          <w:sz w:val="24"/>
          <w:szCs w:val="24"/>
        </w:rPr>
        <w:t xml:space="preserve"> A few commenters raised the issue of CDX reliability as a barrier to e-reporting, suggesting that e-reporting should be only encouraged and not required.</w:t>
      </w:r>
      <w:r w:rsidR="00E61DD1" w:rsidRPr="00431BA7">
        <w:rPr>
          <w:rFonts w:cstheme="minorHAnsi"/>
          <w:sz w:val="24"/>
          <w:szCs w:val="24"/>
        </w:rPr>
        <w:t xml:space="preserve">  One commenter also questioned whether an exception might be made for certain sensitive national defense-related submissions.</w:t>
      </w:r>
    </w:p>
    <w:p w14:paraId="1BE414B1" w14:textId="4D9FEC90" w:rsidR="00817F0C" w:rsidRPr="00431BA7" w:rsidRDefault="00817F0C" w:rsidP="008D2755">
      <w:pPr>
        <w:rPr>
          <w:rFonts w:cstheme="minorHAnsi"/>
          <w:sz w:val="24"/>
          <w:szCs w:val="24"/>
        </w:rPr>
      </w:pPr>
      <w:r w:rsidRPr="00431BA7">
        <w:rPr>
          <w:rFonts w:cstheme="minorHAnsi"/>
          <w:sz w:val="24"/>
          <w:szCs w:val="24"/>
        </w:rPr>
        <w:t>Source: -0044; -0053; -0040; -0041</w:t>
      </w:r>
    </w:p>
    <w:p w14:paraId="46234EBD" w14:textId="1893AC26" w:rsidR="008D2755" w:rsidRPr="00431BA7" w:rsidRDefault="00060C02" w:rsidP="008D2755">
      <w:pPr>
        <w:rPr>
          <w:rFonts w:cstheme="minorHAnsi"/>
          <w:sz w:val="24"/>
          <w:szCs w:val="24"/>
        </w:rPr>
      </w:pPr>
      <w:r w:rsidRPr="00431BA7">
        <w:rPr>
          <w:rFonts w:cstheme="minorHAnsi"/>
          <w:b/>
          <w:bCs/>
          <w:sz w:val="24"/>
          <w:szCs w:val="24"/>
        </w:rPr>
        <w:t>Response</w:t>
      </w:r>
      <w:r w:rsidR="008D2755" w:rsidRPr="00431BA7">
        <w:rPr>
          <w:rFonts w:cstheme="minorHAnsi"/>
          <w:sz w:val="24"/>
          <w:szCs w:val="24"/>
        </w:rPr>
        <w:t>:</w:t>
      </w:r>
      <w:r w:rsidR="001318DE" w:rsidRPr="00431BA7">
        <w:rPr>
          <w:rFonts w:cstheme="minorHAnsi"/>
          <w:sz w:val="24"/>
          <w:szCs w:val="24"/>
        </w:rPr>
        <w:t xml:space="preserve">  EPA first notes that electronic reporting has been required for most TSCA submissions for many years, and that the proposed rule would mainly close the few remaining gaps for section 8(e) submissions, polymer exemption reports, and section 12(b) reports.  In most cases, these reports are short letters, or a cover letter with a single attachment, so the possibility of CDX being overwhelmed</w:t>
      </w:r>
      <w:r w:rsidR="00E61DD1" w:rsidRPr="00431BA7">
        <w:rPr>
          <w:rFonts w:cstheme="minorHAnsi"/>
          <w:sz w:val="24"/>
          <w:szCs w:val="24"/>
        </w:rPr>
        <w:t xml:space="preserve"> with a very large submission are relatively small.  CDX also has a dedicated Helpdesk available to address technical issues.  EPA is aware of </w:t>
      </w:r>
      <w:proofErr w:type="gramStart"/>
      <w:r w:rsidR="00E61DD1" w:rsidRPr="00431BA7">
        <w:rPr>
          <w:rFonts w:cstheme="minorHAnsi"/>
          <w:sz w:val="24"/>
          <w:szCs w:val="24"/>
        </w:rPr>
        <w:t>particular issues</w:t>
      </w:r>
      <w:proofErr w:type="gramEnd"/>
      <w:r w:rsidR="00E61DD1" w:rsidRPr="00431BA7">
        <w:rPr>
          <w:rFonts w:cstheme="minorHAnsi"/>
          <w:sz w:val="24"/>
          <w:szCs w:val="24"/>
        </w:rPr>
        <w:t xml:space="preserve"> with past instances of electronic reporting, such as a few incidents in 2020 CDR reporting, and worked quickly to correct these issues, and extended the reporting period to accommodate necessary repairs and improvements.  As EPA explained in the proposed rule, moving toward near-universal electronic reporting has many </w:t>
      </w:r>
      <w:r w:rsidR="00920C86" w:rsidRPr="00431BA7">
        <w:rPr>
          <w:rFonts w:cstheme="minorHAnsi"/>
          <w:sz w:val="24"/>
          <w:szCs w:val="24"/>
        </w:rPr>
        <w:t xml:space="preserve">benefits, including better prevention of CBI claim-related errors, and is a practical necessity for modern recordkeeping and efficient and timely CBI review.  EPA also notes several recent positive comments the Agency has received on the optional electronic </w:t>
      </w:r>
      <w:r w:rsidR="0085548E" w:rsidRPr="00431BA7">
        <w:rPr>
          <w:rFonts w:cstheme="minorHAnsi"/>
          <w:sz w:val="24"/>
          <w:szCs w:val="24"/>
        </w:rPr>
        <w:t xml:space="preserve">section </w:t>
      </w:r>
      <w:r w:rsidR="00920C86" w:rsidRPr="00431BA7">
        <w:rPr>
          <w:rFonts w:cstheme="minorHAnsi"/>
          <w:sz w:val="24"/>
          <w:szCs w:val="24"/>
        </w:rPr>
        <w:t xml:space="preserve">12(b) reporting tool, and the growing proportion of electronic </w:t>
      </w:r>
      <w:r w:rsidR="0085548E" w:rsidRPr="00431BA7">
        <w:rPr>
          <w:rFonts w:cstheme="minorHAnsi"/>
          <w:sz w:val="24"/>
          <w:szCs w:val="24"/>
        </w:rPr>
        <w:t xml:space="preserve">section </w:t>
      </w:r>
      <w:r w:rsidR="00920C86" w:rsidRPr="00431BA7">
        <w:rPr>
          <w:rFonts w:cstheme="minorHAnsi"/>
          <w:sz w:val="24"/>
          <w:szCs w:val="24"/>
        </w:rPr>
        <w:t xml:space="preserve">12(b) and 8(e) submissions. </w:t>
      </w:r>
    </w:p>
    <w:p w14:paraId="27A9010F" w14:textId="5F72883B" w:rsidR="00920C86" w:rsidRPr="00431BA7" w:rsidRDefault="00920C86" w:rsidP="008D2755">
      <w:pPr>
        <w:rPr>
          <w:rFonts w:cstheme="minorHAnsi"/>
          <w:sz w:val="24"/>
          <w:szCs w:val="24"/>
        </w:rPr>
      </w:pPr>
      <w:r w:rsidRPr="00431BA7">
        <w:rPr>
          <w:rFonts w:cstheme="minorHAnsi"/>
          <w:sz w:val="24"/>
          <w:szCs w:val="24"/>
        </w:rPr>
        <w:t>Occasionally, EPA has encountered special situations where a submission could not, for technical or legal reasons, such as national defense concerns, be made via CDX.  As has been the case in the past, EPA would expect to continue handling these cases according to their special needs and would encourage submitters with these issues to contact EPA for guidance well in advance of making their submission.</w:t>
      </w:r>
    </w:p>
    <w:p w14:paraId="77EDE2CF" w14:textId="44A93B3E" w:rsidR="000106CD" w:rsidRPr="00431BA7" w:rsidRDefault="000106CD" w:rsidP="004F0AEF">
      <w:pPr>
        <w:pStyle w:val="Heading2"/>
        <w:numPr>
          <w:ilvl w:val="0"/>
          <w:numId w:val="0"/>
        </w:numPr>
        <w:ind w:left="360" w:hanging="360"/>
      </w:pPr>
      <w:bookmarkStart w:id="18" w:name="_Toc132901190"/>
      <w:r w:rsidRPr="00431BA7">
        <w:t>Unit 1</w:t>
      </w:r>
      <w:r w:rsidR="00E401BF" w:rsidRPr="00431BA7">
        <w:t>2</w:t>
      </w:r>
      <w:r w:rsidRPr="00431BA7">
        <w:t>: OECD Templates (</w:t>
      </w:r>
      <w:r w:rsidR="00B6654E" w:rsidRPr="00431BA7">
        <w:t xml:space="preserve">40 CFR </w:t>
      </w:r>
      <w:r w:rsidRPr="00431BA7">
        <w:t>703.5(g)</w:t>
      </w:r>
      <w:r w:rsidR="000A2D61" w:rsidRPr="00431BA7">
        <w:t>)</w:t>
      </w:r>
      <w:bookmarkEnd w:id="18"/>
    </w:p>
    <w:p w14:paraId="69F0D4CE" w14:textId="3D5E10A5" w:rsidR="0024423A" w:rsidRPr="00431BA7" w:rsidRDefault="0024423A">
      <w:pPr>
        <w:rPr>
          <w:rFonts w:cstheme="minorHAnsi"/>
          <w:sz w:val="24"/>
          <w:szCs w:val="24"/>
        </w:rPr>
      </w:pPr>
      <w:bookmarkStart w:id="19" w:name="_Hlk119668748"/>
      <w:r w:rsidRPr="00431BA7">
        <w:rPr>
          <w:rFonts w:cstheme="minorHAnsi"/>
          <w:b/>
          <w:bCs/>
          <w:sz w:val="24"/>
          <w:szCs w:val="24"/>
        </w:rPr>
        <w:t xml:space="preserve">Comment:  </w:t>
      </w:r>
      <w:r w:rsidRPr="00431BA7">
        <w:rPr>
          <w:rFonts w:cstheme="minorHAnsi"/>
          <w:sz w:val="24"/>
          <w:szCs w:val="24"/>
        </w:rPr>
        <w:t xml:space="preserve">Several persons commented on the proposal to require the use of OECD </w:t>
      </w:r>
      <w:r w:rsidR="00B67D6B" w:rsidRPr="00431BA7">
        <w:rPr>
          <w:rFonts w:cstheme="minorHAnsi"/>
          <w:sz w:val="24"/>
          <w:szCs w:val="24"/>
        </w:rPr>
        <w:t>harmonized</w:t>
      </w:r>
      <w:r w:rsidRPr="00431BA7">
        <w:rPr>
          <w:rFonts w:cstheme="minorHAnsi"/>
          <w:sz w:val="24"/>
          <w:szCs w:val="24"/>
        </w:rPr>
        <w:t xml:space="preserve"> templates for reporting health and safety study data, when s</w:t>
      </w:r>
      <w:r w:rsidR="00040132" w:rsidRPr="00431BA7">
        <w:rPr>
          <w:rFonts w:cstheme="minorHAnsi"/>
          <w:sz w:val="24"/>
          <w:szCs w:val="24"/>
        </w:rPr>
        <w:t xml:space="preserve">uch a template is available for the study type.  Some commenters were concerned that the proposal was to replace full study reports with templated data or robust summaries.  Other commenters were </w:t>
      </w:r>
      <w:r w:rsidR="00040132" w:rsidRPr="00431BA7">
        <w:rPr>
          <w:rFonts w:cstheme="minorHAnsi"/>
          <w:sz w:val="24"/>
          <w:szCs w:val="24"/>
        </w:rPr>
        <w:lastRenderedPageBreak/>
        <w:t xml:space="preserve">concerned with the additional burden of </w:t>
      </w:r>
      <w:r w:rsidR="00F573FE" w:rsidRPr="00431BA7">
        <w:rPr>
          <w:rFonts w:cstheme="minorHAnsi"/>
          <w:sz w:val="24"/>
          <w:szCs w:val="24"/>
        </w:rPr>
        <w:t xml:space="preserve">providing </w:t>
      </w:r>
      <w:r w:rsidR="00040132" w:rsidRPr="00431BA7">
        <w:rPr>
          <w:rFonts w:cstheme="minorHAnsi"/>
          <w:sz w:val="24"/>
          <w:szCs w:val="24"/>
        </w:rPr>
        <w:t>templat</w:t>
      </w:r>
      <w:r w:rsidR="00F573FE" w:rsidRPr="00431BA7">
        <w:rPr>
          <w:rFonts w:cstheme="minorHAnsi"/>
          <w:sz w:val="24"/>
          <w:szCs w:val="24"/>
        </w:rPr>
        <w:t>ed</w:t>
      </w:r>
      <w:r w:rsidR="00040132" w:rsidRPr="00431BA7">
        <w:rPr>
          <w:rFonts w:cstheme="minorHAnsi"/>
          <w:sz w:val="24"/>
          <w:szCs w:val="24"/>
        </w:rPr>
        <w:t xml:space="preserve"> data</w:t>
      </w:r>
      <w:r w:rsidR="00F573FE" w:rsidRPr="00431BA7">
        <w:rPr>
          <w:rFonts w:cstheme="minorHAnsi"/>
          <w:sz w:val="24"/>
          <w:szCs w:val="24"/>
        </w:rPr>
        <w:t>, arguing that the templates should be optional, and/or that the requirement was not sufficiently related to CBI review to be included in this rule</w:t>
      </w:r>
      <w:r w:rsidR="00040132" w:rsidRPr="00431BA7">
        <w:rPr>
          <w:rFonts w:cstheme="minorHAnsi"/>
          <w:sz w:val="24"/>
          <w:szCs w:val="24"/>
        </w:rPr>
        <w:t>.</w:t>
      </w:r>
    </w:p>
    <w:p w14:paraId="5CB171CA" w14:textId="4F4F414A" w:rsidR="00791195" w:rsidRPr="00431BA7" w:rsidRDefault="00791195">
      <w:pPr>
        <w:rPr>
          <w:rFonts w:cstheme="minorHAnsi"/>
          <w:b/>
          <w:bCs/>
          <w:sz w:val="24"/>
          <w:szCs w:val="24"/>
        </w:rPr>
      </w:pPr>
      <w:r w:rsidRPr="00431BA7">
        <w:rPr>
          <w:rFonts w:cstheme="minorHAnsi"/>
          <w:sz w:val="24"/>
          <w:szCs w:val="24"/>
        </w:rPr>
        <w:t>Source: -0050; -0049; -0044; -0048; -0045; -0052; -0053</w:t>
      </w:r>
    </w:p>
    <w:p w14:paraId="365028DF" w14:textId="212908E4" w:rsidR="000140FB" w:rsidRPr="00431BA7" w:rsidRDefault="00060C02">
      <w:pPr>
        <w:rPr>
          <w:rFonts w:cstheme="minorHAnsi"/>
          <w:sz w:val="24"/>
          <w:szCs w:val="24"/>
        </w:rPr>
      </w:pPr>
      <w:r w:rsidRPr="00431BA7">
        <w:rPr>
          <w:rFonts w:cstheme="minorHAnsi"/>
          <w:b/>
          <w:bCs/>
          <w:sz w:val="24"/>
          <w:szCs w:val="24"/>
        </w:rPr>
        <w:t>Response</w:t>
      </w:r>
      <w:r w:rsidR="0039478C" w:rsidRPr="00431BA7">
        <w:rPr>
          <w:rFonts w:cstheme="minorHAnsi"/>
          <w:b/>
          <w:bCs/>
          <w:sz w:val="24"/>
          <w:szCs w:val="24"/>
        </w:rPr>
        <w:t xml:space="preserve">: </w:t>
      </w:r>
      <w:r w:rsidR="00AA18B8" w:rsidRPr="00431BA7">
        <w:rPr>
          <w:rFonts w:cstheme="minorHAnsi"/>
          <w:b/>
          <w:bCs/>
          <w:sz w:val="24"/>
          <w:szCs w:val="24"/>
        </w:rPr>
        <w:t xml:space="preserve"> </w:t>
      </w:r>
      <w:r w:rsidR="00040132" w:rsidRPr="00431BA7">
        <w:rPr>
          <w:rFonts w:cstheme="minorHAnsi"/>
          <w:sz w:val="24"/>
          <w:szCs w:val="24"/>
        </w:rPr>
        <w:t xml:space="preserve">EPA does not propose to replace full study reports with either robust summaries or </w:t>
      </w:r>
      <w:r w:rsidR="00FE1604" w:rsidRPr="00431BA7">
        <w:rPr>
          <w:rFonts w:cstheme="minorHAnsi"/>
          <w:sz w:val="24"/>
          <w:szCs w:val="24"/>
        </w:rPr>
        <w:t xml:space="preserve">with OECD harmonized templated data.  As noted in the proposed rule, the templated data would be in addition to existing requirements to provide full study reports.  EPA believes that data provided in templated form would aid efficient CBI review by virtue of the format (fielded data, rather than relying </w:t>
      </w:r>
      <w:r w:rsidR="004C5ABE" w:rsidRPr="00431BA7">
        <w:rPr>
          <w:rFonts w:cstheme="minorHAnsi"/>
          <w:sz w:val="24"/>
          <w:szCs w:val="24"/>
        </w:rPr>
        <w:t xml:space="preserve">solely </w:t>
      </w:r>
      <w:r w:rsidR="00FE1604" w:rsidRPr="00431BA7">
        <w:rPr>
          <w:rFonts w:cstheme="minorHAnsi"/>
          <w:sz w:val="24"/>
          <w:szCs w:val="24"/>
        </w:rPr>
        <w:t xml:space="preserve">on a free-text report), wherein the identification and scope of CBI claims is </w:t>
      </w:r>
      <w:r w:rsidR="00687734" w:rsidRPr="00431BA7">
        <w:rPr>
          <w:rFonts w:cstheme="minorHAnsi"/>
          <w:sz w:val="24"/>
          <w:szCs w:val="24"/>
        </w:rPr>
        <w:t>clearer</w:t>
      </w:r>
      <w:r w:rsidR="00FE1604" w:rsidRPr="00431BA7">
        <w:rPr>
          <w:rFonts w:cstheme="minorHAnsi"/>
          <w:sz w:val="24"/>
          <w:szCs w:val="24"/>
        </w:rPr>
        <w:t xml:space="preserve">.  Templated data is also expected to be easier to search to identify pertinent studies in the early stages of risk assessment.  </w:t>
      </w:r>
      <w:r w:rsidR="00FB3867" w:rsidRPr="00431BA7">
        <w:rPr>
          <w:sz w:val="24"/>
          <w:szCs w:val="24"/>
        </w:rPr>
        <w:t xml:space="preserve">Finally, templated data are easier to import/export among EPA’s internal databases including a CBI instance of </w:t>
      </w:r>
      <w:proofErr w:type="gramStart"/>
      <w:r w:rsidR="00FB3867" w:rsidRPr="00431BA7">
        <w:rPr>
          <w:sz w:val="24"/>
          <w:szCs w:val="24"/>
        </w:rPr>
        <w:t>IUCLID, and</w:t>
      </w:r>
      <w:proofErr w:type="gramEnd"/>
      <w:r w:rsidR="00FB3867" w:rsidRPr="00431BA7">
        <w:rPr>
          <w:sz w:val="24"/>
          <w:szCs w:val="24"/>
        </w:rPr>
        <w:t xml:space="preserve"> are compatible with data from a variety of international regulatory authorities.  </w:t>
      </w:r>
      <w:r w:rsidR="00FE1604" w:rsidRPr="00431BA7">
        <w:rPr>
          <w:rFonts w:cstheme="minorHAnsi"/>
          <w:sz w:val="24"/>
          <w:szCs w:val="24"/>
        </w:rPr>
        <w:t xml:space="preserve">While some commenters expressed concern about the burden of filling in a template, it is EPA’s understanding that in many cases, submitters would be compelled to provide templated data to other regulators, so were or will be required to templatize the data anyway.  </w:t>
      </w:r>
      <w:r w:rsidR="00F573FE" w:rsidRPr="00431BA7">
        <w:rPr>
          <w:rFonts w:cstheme="minorHAnsi"/>
          <w:sz w:val="24"/>
          <w:szCs w:val="24"/>
        </w:rPr>
        <w:t xml:space="preserve">Commenters did not provide any but a general critique of the burden estimate for creating templated data, so EPA does not have a basis to adjust the burden estimate.  </w:t>
      </w:r>
    </w:p>
    <w:p w14:paraId="7A5DBD37" w14:textId="44B59FB4" w:rsidR="000106CD" w:rsidRPr="00431BA7" w:rsidRDefault="000106CD" w:rsidP="004F0AEF">
      <w:pPr>
        <w:pStyle w:val="Heading2"/>
        <w:numPr>
          <w:ilvl w:val="0"/>
          <w:numId w:val="0"/>
        </w:numPr>
        <w:ind w:left="360" w:hanging="360"/>
      </w:pPr>
      <w:bookmarkStart w:id="20" w:name="_Toc132901191"/>
      <w:bookmarkEnd w:id="19"/>
      <w:r w:rsidRPr="00431BA7">
        <w:t>Unit 1</w:t>
      </w:r>
      <w:r w:rsidR="00E401BF" w:rsidRPr="00431BA7">
        <w:t>3</w:t>
      </w:r>
      <w:r w:rsidRPr="00431BA7">
        <w:t>: Contact Information and Electronic Notices (</w:t>
      </w:r>
      <w:r w:rsidR="00B6654E" w:rsidRPr="00431BA7">
        <w:t xml:space="preserve">40 CFR </w:t>
      </w:r>
      <w:r w:rsidRPr="00431BA7">
        <w:t>703.5(h))</w:t>
      </w:r>
      <w:bookmarkEnd w:id="20"/>
    </w:p>
    <w:p w14:paraId="3EB53563" w14:textId="5BBD5983" w:rsidR="00960AF9" w:rsidRPr="00431BA7" w:rsidRDefault="00960AF9">
      <w:pPr>
        <w:rPr>
          <w:rFonts w:cstheme="minorHAnsi"/>
          <w:sz w:val="24"/>
          <w:szCs w:val="24"/>
        </w:rPr>
      </w:pPr>
      <w:r w:rsidRPr="00431BA7">
        <w:rPr>
          <w:rFonts w:cstheme="minorHAnsi"/>
          <w:b/>
          <w:bCs/>
          <w:sz w:val="24"/>
          <w:szCs w:val="24"/>
        </w:rPr>
        <w:t xml:space="preserve">Comment:  </w:t>
      </w:r>
      <w:r w:rsidRPr="00431BA7">
        <w:rPr>
          <w:rFonts w:cstheme="minorHAnsi"/>
          <w:sz w:val="24"/>
          <w:szCs w:val="24"/>
        </w:rPr>
        <w:t xml:space="preserve">EPA received several comments concerning the proposed provisions on electronic notices and requirements to maintain company contact information to facilitate making required notices.  </w:t>
      </w:r>
      <w:r w:rsidR="007D77DE" w:rsidRPr="00431BA7">
        <w:rPr>
          <w:rFonts w:cstheme="minorHAnsi"/>
          <w:sz w:val="24"/>
          <w:szCs w:val="24"/>
        </w:rPr>
        <w:t xml:space="preserve">Commenters </w:t>
      </w:r>
      <w:r w:rsidR="00CC1C1C" w:rsidRPr="00431BA7">
        <w:rPr>
          <w:rFonts w:cstheme="minorHAnsi"/>
          <w:sz w:val="24"/>
          <w:szCs w:val="24"/>
        </w:rPr>
        <w:t xml:space="preserve">asserted that electronic notice does not satisfy the requirement under TSCA Section 14(g)(2)(A) that EPA verify </w:t>
      </w:r>
      <w:r w:rsidR="003F0509" w:rsidRPr="00431BA7">
        <w:rPr>
          <w:rFonts w:cstheme="minorHAnsi"/>
          <w:sz w:val="24"/>
          <w:szCs w:val="24"/>
        </w:rPr>
        <w:t>the fact and the date of receipt of</w:t>
      </w:r>
      <w:r w:rsidR="00CC1C1C" w:rsidRPr="00431BA7">
        <w:rPr>
          <w:rFonts w:cstheme="minorHAnsi"/>
          <w:sz w:val="24"/>
          <w:szCs w:val="24"/>
        </w:rPr>
        <w:t xml:space="preserve"> the notice. </w:t>
      </w:r>
      <w:r w:rsidRPr="00431BA7">
        <w:rPr>
          <w:rFonts w:cstheme="minorHAnsi"/>
          <w:sz w:val="24"/>
          <w:szCs w:val="24"/>
        </w:rPr>
        <w:t>Several commenters recommended redundant notices (via mail, email, etc.) in addition to electronic notice via CDX.  Some commenters also suggested providing longer notice periods or providing additional notices beyond those required by TSCA.  Additional comments expressed concern about the burden of maintaining contact information or being “forced” to rely on a single contact for any given TSCA submission.</w:t>
      </w:r>
    </w:p>
    <w:p w14:paraId="0A1FD96D" w14:textId="0CD45736" w:rsidR="00791195" w:rsidRPr="00431BA7" w:rsidRDefault="00791195">
      <w:pPr>
        <w:rPr>
          <w:rFonts w:cstheme="minorHAnsi"/>
          <w:b/>
          <w:bCs/>
          <w:sz w:val="24"/>
          <w:szCs w:val="24"/>
        </w:rPr>
      </w:pPr>
      <w:r w:rsidRPr="00431BA7">
        <w:rPr>
          <w:rFonts w:cstheme="minorHAnsi"/>
          <w:sz w:val="24"/>
          <w:szCs w:val="24"/>
        </w:rPr>
        <w:t>Source: -0053; -0040; -0052; -0047; -0051; -0045</w:t>
      </w:r>
    </w:p>
    <w:p w14:paraId="646659E3" w14:textId="5F8705E8" w:rsidR="00A25CD1" w:rsidRPr="00431BA7" w:rsidRDefault="00060C02">
      <w:pPr>
        <w:rPr>
          <w:rFonts w:cstheme="minorHAnsi"/>
          <w:sz w:val="24"/>
          <w:szCs w:val="24"/>
        </w:rPr>
      </w:pPr>
      <w:r w:rsidRPr="00431BA7">
        <w:rPr>
          <w:rFonts w:cstheme="minorHAnsi"/>
          <w:b/>
          <w:bCs/>
          <w:sz w:val="24"/>
          <w:szCs w:val="24"/>
        </w:rPr>
        <w:t>Response</w:t>
      </w:r>
      <w:r w:rsidR="0039478C" w:rsidRPr="00431BA7">
        <w:rPr>
          <w:rFonts w:cstheme="minorHAnsi"/>
          <w:b/>
          <w:bCs/>
          <w:sz w:val="24"/>
          <w:szCs w:val="24"/>
        </w:rPr>
        <w:t xml:space="preserve">: </w:t>
      </w:r>
      <w:r w:rsidR="00F7215E" w:rsidRPr="00431BA7">
        <w:rPr>
          <w:rFonts w:cstheme="minorHAnsi"/>
          <w:b/>
          <w:bCs/>
          <w:sz w:val="24"/>
          <w:szCs w:val="24"/>
        </w:rPr>
        <w:t xml:space="preserve"> </w:t>
      </w:r>
      <w:r w:rsidR="00960AF9" w:rsidRPr="00431BA7">
        <w:rPr>
          <w:rFonts w:cstheme="minorHAnsi"/>
          <w:sz w:val="24"/>
          <w:szCs w:val="24"/>
        </w:rPr>
        <w:t xml:space="preserve">EPA’s proposal to rely on electronic notices, rather than more traditional certified mail, is born out of experience.  In the initial years of implementing of the Lautenberg amendments, EPA did indeed rely on traditional certified mail to provide TSCA-required notices, or to otherwise communicate with submitters of CBI claims.  Unfortunately, because of company and personnel changes, most likely, </w:t>
      </w:r>
      <w:proofErr w:type="gramStart"/>
      <w:r w:rsidR="00960AF9" w:rsidRPr="00431BA7">
        <w:rPr>
          <w:rFonts w:cstheme="minorHAnsi"/>
          <w:sz w:val="24"/>
          <w:szCs w:val="24"/>
        </w:rPr>
        <w:t>a large number of</w:t>
      </w:r>
      <w:proofErr w:type="gramEnd"/>
      <w:r w:rsidR="00960AF9" w:rsidRPr="00431BA7">
        <w:rPr>
          <w:rFonts w:cstheme="minorHAnsi"/>
          <w:sz w:val="24"/>
          <w:szCs w:val="24"/>
        </w:rPr>
        <w:t xml:space="preserve"> these notices could not be delivered in the first round of mailing, initiating a time- and resource-intensive process to identify</w:t>
      </w:r>
      <w:r w:rsidR="00906F19" w:rsidRPr="00431BA7">
        <w:rPr>
          <w:rFonts w:cstheme="minorHAnsi"/>
          <w:sz w:val="24"/>
          <w:szCs w:val="24"/>
        </w:rPr>
        <w:t>,</w:t>
      </w:r>
      <w:r w:rsidR="00960AF9" w:rsidRPr="00431BA7">
        <w:rPr>
          <w:rFonts w:cstheme="minorHAnsi"/>
          <w:sz w:val="24"/>
          <w:szCs w:val="24"/>
        </w:rPr>
        <w:t xml:space="preserve"> contact</w:t>
      </w:r>
      <w:r w:rsidR="00906F19" w:rsidRPr="00431BA7">
        <w:rPr>
          <w:rFonts w:cstheme="minorHAnsi"/>
          <w:sz w:val="24"/>
          <w:szCs w:val="24"/>
        </w:rPr>
        <w:t>, and confirm receipt in writing with</w:t>
      </w:r>
      <w:r w:rsidR="00960AF9" w:rsidRPr="00431BA7">
        <w:rPr>
          <w:rFonts w:cstheme="minorHAnsi"/>
          <w:sz w:val="24"/>
          <w:szCs w:val="24"/>
        </w:rPr>
        <w:t xml:space="preserve"> someone else at the company or its successor.  </w:t>
      </w:r>
      <w:r w:rsidR="00906F19" w:rsidRPr="00431BA7">
        <w:rPr>
          <w:rFonts w:cstheme="minorHAnsi"/>
          <w:sz w:val="24"/>
          <w:szCs w:val="24"/>
        </w:rPr>
        <w:t xml:space="preserve">Further, as the COVID-19 pandemic set in in 2020, EPA learned that at </w:t>
      </w:r>
      <w:r w:rsidR="00334D1F" w:rsidRPr="00431BA7">
        <w:rPr>
          <w:rFonts w:cstheme="minorHAnsi"/>
          <w:sz w:val="24"/>
          <w:szCs w:val="24"/>
        </w:rPr>
        <w:t>some</w:t>
      </w:r>
      <w:r w:rsidR="00906F19" w:rsidRPr="00431BA7">
        <w:rPr>
          <w:rFonts w:cstheme="minorHAnsi"/>
          <w:sz w:val="24"/>
          <w:szCs w:val="24"/>
        </w:rPr>
        <w:t xml:space="preserve"> </w:t>
      </w:r>
      <w:r w:rsidR="00906F19" w:rsidRPr="00431BA7">
        <w:rPr>
          <w:rFonts w:cstheme="minorHAnsi"/>
          <w:sz w:val="24"/>
          <w:szCs w:val="24"/>
        </w:rPr>
        <w:lastRenderedPageBreak/>
        <w:t xml:space="preserve">companies, internal mail was often not timely delivered (in other words, the mail room or clerical staff might have signed for certified mail, but there was no guarantee that the mail was timely provided to </w:t>
      </w:r>
      <w:r w:rsidR="00334D1F" w:rsidRPr="00431BA7">
        <w:rPr>
          <w:rFonts w:cstheme="minorHAnsi"/>
          <w:sz w:val="24"/>
          <w:szCs w:val="24"/>
        </w:rPr>
        <w:t xml:space="preserve">or opened by </w:t>
      </w:r>
      <w:r w:rsidR="00906F19" w:rsidRPr="00431BA7">
        <w:rPr>
          <w:rFonts w:cstheme="minorHAnsi"/>
          <w:sz w:val="24"/>
          <w:szCs w:val="24"/>
        </w:rPr>
        <w:t xml:space="preserve">its intended </w:t>
      </w:r>
      <w:r w:rsidR="00334D1F" w:rsidRPr="00431BA7">
        <w:rPr>
          <w:rFonts w:cstheme="minorHAnsi"/>
          <w:sz w:val="24"/>
          <w:szCs w:val="24"/>
        </w:rPr>
        <w:t xml:space="preserve">individual </w:t>
      </w:r>
      <w:r w:rsidR="00906F19" w:rsidRPr="00431BA7">
        <w:rPr>
          <w:rFonts w:cstheme="minorHAnsi"/>
          <w:sz w:val="24"/>
          <w:szCs w:val="24"/>
        </w:rPr>
        <w:t xml:space="preserve">recipient).  EPA began to rely more and more on electronic notices instead.  In sending such notices, EPA can be assured that the notice is available to the person with access to that account in much the same way that signed-for certified mail has been delivered to a person at the address on the envelope.  What EPA cannot assure in either case is that the individual addressee has opened the e-notice or letter.  Section 14(g) requires only that notice be provided </w:t>
      </w:r>
      <w:r w:rsidR="00334D1F" w:rsidRPr="00431BA7">
        <w:rPr>
          <w:rFonts w:cstheme="minorHAnsi"/>
          <w:sz w:val="24"/>
          <w:szCs w:val="24"/>
        </w:rPr>
        <w:t>by “means that allows verification of the fact and date of receipt,” with certified mail and personal delivery being but two examples of such means.  EPA views notice by CDX as another such example</w:t>
      </w:r>
      <w:r w:rsidR="00626E5B" w:rsidRPr="00431BA7">
        <w:rPr>
          <w:rFonts w:cstheme="minorHAnsi"/>
          <w:sz w:val="24"/>
          <w:szCs w:val="24"/>
        </w:rPr>
        <w:t xml:space="preserve"> </w:t>
      </w:r>
      <w:r w:rsidR="00104173" w:rsidRPr="00431BA7">
        <w:rPr>
          <w:rFonts w:cstheme="minorHAnsi"/>
          <w:sz w:val="24"/>
          <w:szCs w:val="24"/>
        </w:rPr>
        <w:t xml:space="preserve">that </w:t>
      </w:r>
      <w:r w:rsidR="0025284B" w:rsidRPr="00431BA7">
        <w:rPr>
          <w:rFonts w:cstheme="minorHAnsi"/>
          <w:sz w:val="24"/>
          <w:szCs w:val="24"/>
        </w:rPr>
        <w:t xml:space="preserve">allows EPA to </w:t>
      </w:r>
      <w:r w:rsidR="00FA3D91" w:rsidRPr="00431BA7">
        <w:rPr>
          <w:rFonts w:cstheme="minorHAnsi"/>
          <w:sz w:val="24"/>
          <w:szCs w:val="24"/>
        </w:rPr>
        <w:t>furnish notice in a manne</w:t>
      </w:r>
      <w:r w:rsidR="0068486F" w:rsidRPr="00431BA7">
        <w:rPr>
          <w:rFonts w:cstheme="minorHAnsi"/>
          <w:sz w:val="24"/>
          <w:szCs w:val="24"/>
        </w:rPr>
        <w:t xml:space="preserve">r that </w:t>
      </w:r>
      <w:r w:rsidR="000B304D" w:rsidRPr="00431BA7">
        <w:rPr>
          <w:rFonts w:cstheme="minorHAnsi"/>
          <w:sz w:val="24"/>
          <w:szCs w:val="24"/>
        </w:rPr>
        <w:t>EPA can verify the fact and date of receipt</w:t>
      </w:r>
      <w:r w:rsidR="00672D46" w:rsidRPr="00431BA7">
        <w:rPr>
          <w:rFonts w:cstheme="minorHAnsi"/>
          <w:sz w:val="24"/>
          <w:szCs w:val="24"/>
        </w:rPr>
        <w:t xml:space="preserve"> (by sending notices via CDX, EPA can assure that the notice is both in the recipient’s CDX mailbox, available to be opened and viewed, and has an electronic record of when it was put there)</w:t>
      </w:r>
      <w:r w:rsidR="000B304D" w:rsidRPr="00431BA7">
        <w:rPr>
          <w:rFonts w:cstheme="minorHAnsi"/>
          <w:sz w:val="24"/>
          <w:szCs w:val="24"/>
        </w:rPr>
        <w:t>,</w:t>
      </w:r>
      <w:r w:rsidR="004930F2" w:rsidRPr="00431BA7">
        <w:rPr>
          <w:rFonts w:cstheme="minorHAnsi"/>
          <w:sz w:val="24"/>
          <w:szCs w:val="24"/>
        </w:rPr>
        <w:t xml:space="preserve"> and given recent changes in where many in the workforce work (</w:t>
      </w:r>
      <w:proofErr w:type="spellStart"/>
      <w:r w:rsidR="004930F2" w:rsidRPr="00431BA7">
        <w:rPr>
          <w:rFonts w:cstheme="minorHAnsi"/>
          <w:sz w:val="24"/>
          <w:szCs w:val="24"/>
        </w:rPr>
        <w:t>i.e</w:t>
      </w:r>
      <w:proofErr w:type="spellEnd"/>
      <w:r w:rsidR="004930F2" w:rsidRPr="00431BA7">
        <w:rPr>
          <w:rFonts w:cstheme="minorHAnsi"/>
          <w:sz w:val="24"/>
          <w:szCs w:val="24"/>
        </w:rPr>
        <w:t>, the COVID-19-accellerated trend toward remote work) is very likely the best way to assure that required notices timely reach the appropriate company contact</w:t>
      </w:r>
      <w:r w:rsidR="00334D1F" w:rsidRPr="00431BA7">
        <w:rPr>
          <w:rFonts w:cstheme="minorHAnsi"/>
          <w:sz w:val="24"/>
          <w:szCs w:val="24"/>
        </w:rPr>
        <w:t xml:space="preserve">.  </w:t>
      </w:r>
    </w:p>
    <w:p w14:paraId="58ACC520" w14:textId="5B243473" w:rsidR="00A25CD1" w:rsidRPr="00431BA7" w:rsidRDefault="00A25CD1">
      <w:pPr>
        <w:rPr>
          <w:rFonts w:cstheme="minorHAnsi"/>
          <w:sz w:val="24"/>
          <w:szCs w:val="24"/>
        </w:rPr>
      </w:pPr>
      <w:r w:rsidRPr="00431BA7">
        <w:rPr>
          <w:rFonts w:cstheme="minorHAnsi"/>
          <w:sz w:val="24"/>
          <w:szCs w:val="24"/>
        </w:rPr>
        <w:t xml:space="preserve">EPA also notes that for each notice it sends via CDX, a separate notice is sent to the email account of the submitter, according to their CDX account.  This emailed notification does not include CBI </w:t>
      </w:r>
      <w:proofErr w:type="gramStart"/>
      <w:r w:rsidRPr="00431BA7">
        <w:rPr>
          <w:rFonts w:cstheme="minorHAnsi"/>
          <w:sz w:val="24"/>
          <w:szCs w:val="24"/>
        </w:rPr>
        <w:t>information, but</w:t>
      </w:r>
      <w:proofErr w:type="gramEnd"/>
      <w:r w:rsidRPr="00431BA7">
        <w:rPr>
          <w:rFonts w:cstheme="minorHAnsi"/>
          <w:sz w:val="24"/>
          <w:szCs w:val="24"/>
        </w:rPr>
        <w:t xml:space="preserve"> notifies the recipient that they have a notice in their CDX account (this </w:t>
      </w:r>
      <w:r w:rsidR="00B67D6B" w:rsidRPr="00431BA7">
        <w:rPr>
          <w:rFonts w:cstheme="minorHAnsi"/>
          <w:sz w:val="24"/>
          <w:szCs w:val="24"/>
        </w:rPr>
        <w:t xml:space="preserve">notice mechanism </w:t>
      </w:r>
      <w:r w:rsidRPr="00431BA7">
        <w:rPr>
          <w:rFonts w:cstheme="minorHAnsi"/>
          <w:sz w:val="24"/>
          <w:szCs w:val="24"/>
        </w:rPr>
        <w:t xml:space="preserve">is somewhat analogous to the banking notices that a person might receive from their bank).  EPA is aware that some companies use </w:t>
      </w:r>
      <w:r w:rsidR="00B67D6B" w:rsidRPr="00431BA7">
        <w:rPr>
          <w:rFonts w:cstheme="minorHAnsi"/>
          <w:sz w:val="24"/>
          <w:szCs w:val="24"/>
        </w:rPr>
        <w:t xml:space="preserve">an </w:t>
      </w:r>
      <w:r w:rsidRPr="00431BA7">
        <w:rPr>
          <w:rFonts w:cstheme="minorHAnsi"/>
          <w:sz w:val="24"/>
          <w:szCs w:val="24"/>
        </w:rPr>
        <w:t>email address</w:t>
      </w:r>
      <w:r w:rsidR="00B67D6B" w:rsidRPr="00431BA7">
        <w:rPr>
          <w:rFonts w:cstheme="minorHAnsi"/>
          <w:sz w:val="24"/>
          <w:szCs w:val="24"/>
        </w:rPr>
        <w:t xml:space="preserve"> for </w:t>
      </w:r>
      <w:r w:rsidRPr="00431BA7">
        <w:rPr>
          <w:rFonts w:cstheme="minorHAnsi"/>
          <w:sz w:val="24"/>
          <w:szCs w:val="24"/>
        </w:rPr>
        <w:t>their CDX accounts</w:t>
      </w:r>
      <w:r w:rsidR="00B67D6B" w:rsidRPr="00431BA7">
        <w:rPr>
          <w:rFonts w:cstheme="minorHAnsi"/>
          <w:sz w:val="24"/>
          <w:szCs w:val="24"/>
        </w:rPr>
        <w:t xml:space="preserve"> that is accessible to more than one person at their company</w:t>
      </w:r>
      <w:r w:rsidRPr="00431BA7">
        <w:rPr>
          <w:rFonts w:cstheme="minorHAnsi"/>
          <w:sz w:val="24"/>
          <w:szCs w:val="24"/>
        </w:rPr>
        <w:t>, s</w:t>
      </w:r>
      <w:r w:rsidR="00B67D6B" w:rsidRPr="00431BA7">
        <w:rPr>
          <w:rFonts w:cstheme="minorHAnsi"/>
          <w:sz w:val="24"/>
          <w:szCs w:val="24"/>
        </w:rPr>
        <w:t>uch</w:t>
      </w:r>
      <w:r w:rsidRPr="00431BA7">
        <w:rPr>
          <w:rFonts w:cstheme="minorHAnsi"/>
          <w:sz w:val="24"/>
          <w:szCs w:val="24"/>
        </w:rPr>
        <w:t xml:space="preserve"> that if one company contact is suddenly or temporarily unavailable, other company contacts will be able to access the notice.  </w:t>
      </w:r>
      <w:r w:rsidR="00B67D6B" w:rsidRPr="00431BA7">
        <w:rPr>
          <w:rFonts w:cstheme="minorHAnsi"/>
          <w:sz w:val="24"/>
          <w:szCs w:val="24"/>
        </w:rPr>
        <w:t>Wider a</w:t>
      </w:r>
      <w:r w:rsidRPr="00431BA7">
        <w:rPr>
          <w:rFonts w:cstheme="minorHAnsi"/>
          <w:sz w:val="24"/>
          <w:szCs w:val="24"/>
        </w:rPr>
        <w:t>dopt</w:t>
      </w:r>
      <w:r w:rsidR="00B67D6B" w:rsidRPr="00431BA7">
        <w:rPr>
          <w:rFonts w:cstheme="minorHAnsi"/>
          <w:sz w:val="24"/>
          <w:szCs w:val="24"/>
        </w:rPr>
        <w:t>ion of</w:t>
      </w:r>
      <w:r w:rsidRPr="00431BA7">
        <w:rPr>
          <w:rFonts w:cstheme="minorHAnsi"/>
          <w:sz w:val="24"/>
          <w:szCs w:val="24"/>
        </w:rPr>
        <w:t xml:space="preserve"> this </w:t>
      </w:r>
      <w:r w:rsidR="00B67D6B" w:rsidRPr="00431BA7">
        <w:rPr>
          <w:rFonts w:cstheme="minorHAnsi"/>
          <w:sz w:val="24"/>
          <w:szCs w:val="24"/>
        </w:rPr>
        <w:t>or similar</w:t>
      </w:r>
      <w:r w:rsidRPr="00431BA7">
        <w:rPr>
          <w:rFonts w:cstheme="minorHAnsi"/>
          <w:sz w:val="24"/>
          <w:szCs w:val="24"/>
        </w:rPr>
        <w:t xml:space="preserve"> practice</w:t>
      </w:r>
      <w:r w:rsidR="00B67D6B" w:rsidRPr="00431BA7">
        <w:rPr>
          <w:rFonts w:cstheme="minorHAnsi"/>
          <w:sz w:val="24"/>
          <w:szCs w:val="24"/>
        </w:rPr>
        <w:t>s</w:t>
      </w:r>
      <w:r w:rsidRPr="00431BA7">
        <w:rPr>
          <w:rFonts w:cstheme="minorHAnsi"/>
          <w:sz w:val="24"/>
          <w:szCs w:val="24"/>
        </w:rPr>
        <w:t xml:space="preserve"> may ameliorate the concerns of some commenters about the burden of maintaining contact information on a specific-submission basis, and concerns about the company not receiving notice if the contact has left the company.</w:t>
      </w:r>
      <w:r w:rsidR="00B67D6B" w:rsidRPr="00431BA7">
        <w:rPr>
          <w:rFonts w:cstheme="minorHAnsi"/>
          <w:sz w:val="24"/>
          <w:szCs w:val="24"/>
        </w:rPr>
        <w:t xml:space="preserve">  Submitting companies are also strongly encouraged to develop their own means of recording and maintaining submission passphrases</w:t>
      </w:r>
      <w:r w:rsidR="00A9540D" w:rsidRPr="00431BA7">
        <w:rPr>
          <w:rFonts w:cstheme="minorHAnsi"/>
          <w:sz w:val="24"/>
          <w:szCs w:val="24"/>
        </w:rPr>
        <w:t xml:space="preserve"> so that company employees other than the individual who acted as the original Authorized Official can access the submission as needed to respond to future notices concerning those claims and/or in relation to reasserting expiring CBI claims every ten years.</w:t>
      </w:r>
    </w:p>
    <w:p w14:paraId="14D5D750" w14:textId="77777777" w:rsidR="00791195" w:rsidRPr="00431BA7" w:rsidRDefault="00EB7425">
      <w:pPr>
        <w:rPr>
          <w:rFonts w:cstheme="minorHAnsi"/>
          <w:sz w:val="24"/>
          <w:szCs w:val="24"/>
        </w:rPr>
      </w:pPr>
      <w:r w:rsidRPr="00431BA7">
        <w:rPr>
          <w:rFonts w:cstheme="minorHAnsi"/>
          <w:b/>
          <w:bCs/>
          <w:sz w:val="24"/>
          <w:szCs w:val="24"/>
        </w:rPr>
        <w:t>Comment</w:t>
      </w:r>
      <w:r w:rsidRPr="00431BA7">
        <w:rPr>
          <w:rFonts w:cstheme="minorHAnsi"/>
          <w:sz w:val="24"/>
          <w:szCs w:val="24"/>
        </w:rPr>
        <w:t>:  A few commenters expressed concern with maintaining company contact information for older submissions for which the passphrase has been lost, and that current company employees could not access the original submission to reassert CBI claims, especially around the time that such claims begin to expire without reassertion.</w:t>
      </w:r>
    </w:p>
    <w:p w14:paraId="647C34E3" w14:textId="07ECBA31" w:rsidR="00EB7425" w:rsidRPr="00431BA7" w:rsidRDefault="00791195">
      <w:pPr>
        <w:rPr>
          <w:rFonts w:cstheme="minorHAnsi"/>
          <w:sz w:val="24"/>
          <w:szCs w:val="24"/>
        </w:rPr>
      </w:pPr>
      <w:r w:rsidRPr="00431BA7">
        <w:rPr>
          <w:rFonts w:cstheme="minorHAnsi"/>
          <w:sz w:val="24"/>
          <w:szCs w:val="24"/>
        </w:rPr>
        <w:t xml:space="preserve">Source: </w:t>
      </w:r>
      <w:r w:rsidR="0034217F" w:rsidRPr="00431BA7">
        <w:rPr>
          <w:rFonts w:cstheme="minorHAnsi"/>
          <w:sz w:val="24"/>
          <w:szCs w:val="24"/>
        </w:rPr>
        <w:t>-0053; -0051</w:t>
      </w:r>
      <w:r w:rsidR="00EB7425" w:rsidRPr="00431BA7">
        <w:rPr>
          <w:rFonts w:cstheme="minorHAnsi"/>
          <w:sz w:val="24"/>
          <w:szCs w:val="24"/>
        </w:rPr>
        <w:t xml:space="preserve"> </w:t>
      </w:r>
    </w:p>
    <w:p w14:paraId="3BAC5066" w14:textId="431F7A99" w:rsidR="00A25CD1" w:rsidRPr="00431BA7" w:rsidRDefault="00060C02">
      <w:pPr>
        <w:rPr>
          <w:rFonts w:cstheme="minorHAnsi"/>
          <w:sz w:val="24"/>
          <w:szCs w:val="24"/>
        </w:rPr>
      </w:pPr>
      <w:r w:rsidRPr="00431BA7">
        <w:rPr>
          <w:rFonts w:cstheme="minorHAnsi"/>
          <w:b/>
          <w:bCs/>
          <w:sz w:val="24"/>
          <w:szCs w:val="24"/>
        </w:rPr>
        <w:t>Response</w:t>
      </w:r>
      <w:r w:rsidR="00EB7425" w:rsidRPr="00431BA7">
        <w:rPr>
          <w:rFonts w:cstheme="minorHAnsi"/>
          <w:sz w:val="24"/>
          <w:szCs w:val="24"/>
        </w:rPr>
        <w:t>:</w:t>
      </w:r>
      <w:r w:rsidR="00164703" w:rsidRPr="00431BA7">
        <w:rPr>
          <w:rFonts w:cstheme="minorHAnsi"/>
          <w:sz w:val="24"/>
          <w:szCs w:val="24"/>
        </w:rPr>
        <w:t xml:space="preserve"> While EPA has long emphasized </w:t>
      </w:r>
      <w:r w:rsidR="00A9540D" w:rsidRPr="00431BA7">
        <w:rPr>
          <w:rFonts w:cstheme="minorHAnsi"/>
          <w:sz w:val="24"/>
          <w:szCs w:val="24"/>
        </w:rPr>
        <w:t xml:space="preserve">(and continues to emphasize) </w:t>
      </w:r>
      <w:r w:rsidR="00164703" w:rsidRPr="00431BA7">
        <w:rPr>
          <w:rFonts w:cstheme="minorHAnsi"/>
          <w:sz w:val="24"/>
          <w:szCs w:val="24"/>
        </w:rPr>
        <w:t xml:space="preserve">the need for companies to keep records of their passphrases, EPA does recognize that passphrases are nonetheless sometimes lost or not appropriately recorded.  In response, EPA is developing a </w:t>
      </w:r>
      <w:r w:rsidR="00164703" w:rsidRPr="00431BA7">
        <w:rPr>
          <w:rFonts w:cstheme="minorHAnsi"/>
          <w:sz w:val="24"/>
          <w:szCs w:val="24"/>
        </w:rPr>
        <w:lastRenderedPageBreak/>
        <w:t>means for companies to reset their passphrases in newer TSCA submissions.  As it concerns older submissions in particular, EPA notes that companies may always request a copy of record of their previous submissions, and that there is an electronic form for doing so</w:t>
      </w:r>
      <w:r w:rsidR="00AD222D" w:rsidRPr="00431BA7">
        <w:rPr>
          <w:rFonts w:cstheme="minorHAnsi"/>
          <w:sz w:val="24"/>
          <w:szCs w:val="24"/>
        </w:rPr>
        <w:t xml:space="preserve"> (EPA can provide instructions for using this form upon request)</w:t>
      </w:r>
      <w:r w:rsidR="00164703" w:rsidRPr="00431BA7">
        <w:rPr>
          <w:rFonts w:cstheme="minorHAnsi"/>
          <w:sz w:val="24"/>
          <w:szCs w:val="24"/>
        </w:rPr>
        <w:t xml:space="preserve">.  For expiring claims in particular, EPA is anticipating developing a new reporting form in which companies may reassert expiring claims.  While having a copy of the submission is likely to be very helpful to identifying and reasserting claims, it </w:t>
      </w:r>
      <w:r w:rsidR="00976BF9" w:rsidRPr="00431BA7">
        <w:rPr>
          <w:rFonts w:cstheme="minorHAnsi"/>
          <w:sz w:val="24"/>
          <w:szCs w:val="24"/>
        </w:rPr>
        <w:t>should</w:t>
      </w:r>
      <w:r w:rsidR="00164703" w:rsidRPr="00431BA7">
        <w:rPr>
          <w:rFonts w:cstheme="minorHAnsi"/>
          <w:sz w:val="24"/>
          <w:szCs w:val="24"/>
        </w:rPr>
        <w:t xml:space="preserve"> not be necessary for the company to access the original submission in CDX </w:t>
      </w:r>
      <w:proofErr w:type="gramStart"/>
      <w:r w:rsidR="00164703" w:rsidRPr="00431BA7">
        <w:rPr>
          <w:rFonts w:cstheme="minorHAnsi"/>
          <w:sz w:val="24"/>
          <w:szCs w:val="24"/>
        </w:rPr>
        <w:t>in order to</w:t>
      </w:r>
      <w:proofErr w:type="gramEnd"/>
      <w:r w:rsidR="00164703" w:rsidRPr="00431BA7">
        <w:rPr>
          <w:rFonts w:cstheme="minorHAnsi"/>
          <w:sz w:val="24"/>
          <w:szCs w:val="24"/>
        </w:rPr>
        <w:t xml:space="preserve"> reassert claims.</w:t>
      </w:r>
    </w:p>
    <w:p w14:paraId="0B0615A7" w14:textId="0B661A74" w:rsidR="00EB7425" w:rsidRPr="00431BA7" w:rsidRDefault="00EB7425">
      <w:pPr>
        <w:rPr>
          <w:rFonts w:cstheme="minorHAnsi"/>
          <w:sz w:val="24"/>
          <w:szCs w:val="24"/>
        </w:rPr>
      </w:pPr>
      <w:r w:rsidRPr="00431BA7">
        <w:rPr>
          <w:rFonts w:cstheme="minorHAnsi"/>
          <w:b/>
          <w:bCs/>
          <w:sz w:val="24"/>
          <w:szCs w:val="24"/>
        </w:rPr>
        <w:t>Comment</w:t>
      </w:r>
      <w:r w:rsidRPr="00431BA7">
        <w:rPr>
          <w:rFonts w:cstheme="minorHAnsi"/>
          <w:sz w:val="24"/>
          <w:szCs w:val="24"/>
        </w:rPr>
        <w:t>: One commenter assert</w:t>
      </w:r>
      <w:r w:rsidR="00653AB4" w:rsidRPr="00431BA7">
        <w:rPr>
          <w:rFonts w:cstheme="minorHAnsi"/>
          <w:sz w:val="24"/>
          <w:szCs w:val="24"/>
        </w:rPr>
        <w:t>ed</w:t>
      </w:r>
      <w:r w:rsidRPr="00431BA7">
        <w:rPr>
          <w:rFonts w:cstheme="minorHAnsi"/>
          <w:sz w:val="24"/>
          <w:szCs w:val="24"/>
        </w:rPr>
        <w:t xml:space="preserve"> that submitters must have individual notification of expiring claims under </w:t>
      </w:r>
      <w:r w:rsidR="00056305" w:rsidRPr="00431BA7">
        <w:rPr>
          <w:rFonts w:cstheme="minorHAnsi"/>
          <w:sz w:val="24"/>
          <w:szCs w:val="24"/>
        </w:rPr>
        <w:t xml:space="preserve">TSCA section </w:t>
      </w:r>
      <w:proofErr w:type="gramStart"/>
      <w:r w:rsidRPr="00431BA7">
        <w:rPr>
          <w:rFonts w:cstheme="minorHAnsi"/>
          <w:sz w:val="24"/>
          <w:szCs w:val="24"/>
        </w:rPr>
        <w:t>14</w:t>
      </w:r>
      <w:r w:rsidR="00056305" w:rsidRPr="00431BA7">
        <w:rPr>
          <w:rFonts w:cstheme="minorHAnsi"/>
          <w:sz w:val="24"/>
          <w:szCs w:val="24"/>
        </w:rPr>
        <w:t>(e)</w:t>
      </w:r>
      <w:r w:rsidRPr="00431BA7">
        <w:rPr>
          <w:rFonts w:cstheme="minorHAnsi"/>
          <w:sz w:val="24"/>
          <w:szCs w:val="24"/>
        </w:rPr>
        <w:t>, and</w:t>
      </w:r>
      <w:proofErr w:type="gramEnd"/>
      <w:r w:rsidRPr="00431BA7">
        <w:rPr>
          <w:rFonts w:cstheme="minorHAnsi"/>
          <w:sz w:val="24"/>
          <w:szCs w:val="24"/>
        </w:rPr>
        <w:t xml:space="preserve"> suggested that all primary Authorized Officials for a given company should be notified, as well as all the agents or consultants for that company.  Other commenters suggested that submitters of expiring claims get 180 </w:t>
      </w:r>
      <w:proofErr w:type="spellStart"/>
      <w:r w:rsidRPr="00431BA7">
        <w:rPr>
          <w:rFonts w:cstheme="minorHAnsi"/>
          <w:sz w:val="24"/>
          <w:szCs w:val="24"/>
        </w:rPr>
        <w:t>days notice</w:t>
      </w:r>
      <w:proofErr w:type="spellEnd"/>
      <w:r w:rsidRPr="00431BA7">
        <w:rPr>
          <w:rFonts w:cstheme="minorHAnsi"/>
          <w:sz w:val="24"/>
          <w:szCs w:val="24"/>
        </w:rPr>
        <w:t xml:space="preserve"> of expiration, versus the 60 days called for in TSCA.</w:t>
      </w:r>
    </w:p>
    <w:p w14:paraId="7C1C1886" w14:textId="015935FA" w:rsidR="0034217F" w:rsidRPr="00431BA7" w:rsidRDefault="0034217F">
      <w:pPr>
        <w:rPr>
          <w:rFonts w:cstheme="minorHAnsi"/>
          <w:sz w:val="24"/>
          <w:szCs w:val="24"/>
        </w:rPr>
      </w:pPr>
      <w:r w:rsidRPr="00431BA7">
        <w:rPr>
          <w:rFonts w:cstheme="minorHAnsi"/>
          <w:sz w:val="24"/>
          <w:szCs w:val="24"/>
        </w:rPr>
        <w:t>Source: -0044; -0048; -0053</w:t>
      </w:r>
    </w:p>
    <w:p w14:paraId="48F61909" w14:textId="52D2F873" w:rsidR="00EB7425" w:rsidRPr="00431BA7" w:rsidRDefault="00060C02">
      <w:pPr>
        <w:rPr>
          <w:rFonts w:cstheme="minorHAnsi"/>
          <w:sz w:val="24"/>
          <w:szCs w:val="24"/>
        </w:rPr>
      </w:pPr>
      <w:r w:rsidRPr="00431BA7">
        <w:rPr>
          <w:rFonts w:cstheme="minorHAnsi"/>
          <w:b/>
          <w:bCs/>
          <w:sz w:val="24"/>
          <w:szCs w:val="24"/>
        </w:rPr>
        <w:t>Response</w:t>
      </w:r>
      <w:r w:rsidR="00EB7425" w:rsidRPr="00431BA7">
        <w:rPr>
          <w:rFonts w:cstheme="minorHAnsi"/>
          <w:sz w:val="24"/>
          <w:szCs w:val="24"/>
        </w:rPr>
        <w:t>:</w:t>
      </w:r>
      <w:r w:rsidR="00164703" w:rsidRPr="00431BA7">
        <w:rPr>
          <w:rFonts w:cstheme="minorHAnsi"/>
          <w:sz w:val="24"/>
          <w:szCs w:val="24"/>
        </w:rPr>
        <w:t xml:space="preserve">  EPA disagrees with these comments.  Section 14(e) does not specify that EPA must provide individual notice of claim expiration, and it requires only 60 </w:t>
      </w:r>
      <w:proofErr w:type="spellStart"/>
      <w:r w:rsidR="00164703" w:rsidRPr="00431BA7">
        <w:rPr>
          <w:rFonts w:cstheme="minorHAnsi"/>
          <w:sz w:val="24"/>
          <w:szCs w:val="24"/>
        </w:rPr>
        <w:t>days notice</w:t>
      </w:r>
      <w:proofErr w:type="spellEnd"/>
      <w:r w:rsidR="00164703" w:rsidRPr="00431BA7">
        <w:rPr>
          <w:rFonts w:cstheme="minorHAnsi"/>
          <w:sz w:val="24"/>
          <w:szCs w:val="24"/>
        </w:rPr>
        <w:t xml:space="preserve"> of claim expiration.  EPA does nonetheless intend to provide notice of expiration as proposed, and </w:t>
      </w:r>
      <w:r w:rsidR="00164703" w:rsidRPr="00431BA7">
        <w:rPr>
          <w:rFonts w:cstheme="minorHAnsi"/>
          <w:i/>
          <w:iCs/>
          <w:sz w:val="24"/>
          <w:szCs w:val="24"/>
        </w:rPr>
        <w:t>at least</w:t>
      </w:r>
      <w:r w:rsidR="00164703" w:rsidRPr="00431BA7">
        <w:rPr>
          <w:rFonts w:cstheme="minorHAnsi"/>
          <w:sz w:val="24"/>
          <w:szCs w:val="24"/>
        </w:rPr>
        <w:t xml:space="preserve"> 60 days ahead of time.</w:t>
      </w:r>
    </w:p>
    <w:p w14:paraId="11BD010F" w14:textId="1DF603A8" w:rsidR="000106CD" w:rsidRPr="00431BA7" w:rsidRDefault="000106CD" w:rsidP="004F0AEF">
      <w:pPr>
        <w:pStyle w:val="Heading2"/>
        <w:numPr>
          <w:ilvl w:val="0"/>
          <w:numId w:val="0"/>
        </w:numPr>
        <w:ind w:left="360" w:hanging="360"/>
      </w:pPr>
      <w:bookmarkStart w:id="21" w:name="_Toc132901192"/>
      <w:r w:rsidRPr="00431BA7">
        <w:t>Unit 1</w:t>
      </w:r>
      <w:r w:rsidR="00E401BF" w:rsidRPr="00431BA7">
        <w:t>4</w:t>
      </w:r>
      <w:r w:rsidRPr="00431BA7">
        <w:t>: Amending Public Copies (</w:t>
      </w:r>
      <w:r w:rsidR="00B6654E" w:rsidRPr="00431BA7">
        <w:t xml:space="preserve">40 CFR </w:t>
      </w:r>
      <w:r w:rsidRPr="00431BA7">
        <w:t>703.5(j))</w:t>
      </w:r>
      <w:bookmarkEnd w:id="21"/>
    </w:p>
    <w:p w14:paraId="5612F31E" w14:textId="4A95D247" w:rsidR="004A0C8E" w:rsidRPr="00431BA7" w:rsidRDefault="004A0C8E" w:rsidP="004A0C8E">
      <w:pPr>
        <w:rPr>
          <w:rFonts w:cstheme="minorHAnsi"/>
          <w:sz w:val="24"/>
          <w:szCs w:val="24"/>
        </w:rPr>
      </w:pPr>
      <w:bookmarkStart w:id="22" w:name="_Hlk120028581"/>
      <w:r w:rsidRPr="00431BA7">
        <w:rPr>
          <w:rFonts w:cstheme="minorHAnsi"/>
          <w:b/>
          <w:bCs/>
          <w:sz w:val="24"/>
          <w:szCs w:val="24"/>
        </w:rPr>
        <w:t>Comment:</w:t>
      </w:r>
      <w:r w:rsidR="00A530FD" w:rsidRPr="00431BA7">
        <w:rPr>
          <w:rFonts w:cstheme="minorHAnsi"/>
          <w:sz w:val="24"/>
          <w:szCs w:val="24"/>
        </w:rPr>
        <w:t xml:space="preserve">  EPA received a few comments concerning the provisions on amending public copies following CBI claim denial or expiration.  Some commenters believed that EPA should be responsible for this function, while others did not believe it was necessary at all unless there was an immediate need to make the disclosure, such as a pending FOIA request.  Others agreed that companies should be primarily responsible for this function.  One commenter requested confirmation that EPA would indeed perform this function if companies did not do it, and clarification that any addendum prepared to for the newly disclosed data would faithfully capture the newly non-CBI information and not be a summary.</w:t>
      </w:r>
    </w:p>
    <w:p w14:paraId="70B0D21F" w14:textId="182994B5" w:rsidR="0034217F" w:rsidRPr="00431BA7" w:rsidRDefault="0034217F" w:rsidP="004A0C8E">
      <w:pPr>
        <w:rPr>
          <w:rFonts w:cstheme="minorHAnsi"/>
          <w:sz w:val="24"/>
          <w:szCs w:val="24"/>
        </w:rPr>
      </w:pPr>
      <w:r w:rsidRPr="00431BA7">
        <w:rPr>
          <w:rFonts w:cstheme="minorHAnsi"/>
          <w:sz w:val="24"/>
          <w:szCs w:val="24"/>
        </w:rPr>
        <w:t>Source: -0050; -0049; -0044; -0041</w:t>
      </w:r>
    </w:p>
    <w:p w14:paraId="3005A189" w14:textId="597073E6" w:rsidR="004A0C8E" w:rsidRPr="00431BA7" w:rsidRDefault="00060C02" w:rsidP="004A0C8E">
      <w:pPr>
        <w:rPr>
          <w:rFonts w:cstheme="minorHAnsi"/>
          <w:sz w:val="24"/>
          <w:szCs w:val="24"/>
        </w:rPr>
      </w:pPr>
      <w:r w:rsidRPr="00431BA7">
        <w:rPr>
          <w:rFonts w:cstheme="minorHAnsi"/>
          <w:b/>
          <w:bCs/>
          <w:sz w:val="24"/>
          <w:szCs w:val="24"/>
        </w:rPr>
        <w:t>Response</w:t>
      </w:r>
      <w:r w:rsidR="004A0C8E" w:rsidRPr="00431BA7">
        <w:rPr>
          <w:rFonts w:cstheme="minorHAnsi"/>
          <w:sz w:val="24"/>
          <w:szCs w:val="24"/>
        </w:rPr>
        <w:t>:</w:t>
      </w:r>
      <w:r w:rsidR="00A530FD" w:rsidRPr="00431BA7">
        <w:rPr>
          <w:rFonts w:cstheme="minorHAnsi"/>
          <w:sz w:val="24"/>
          <w:szCs w:val="24"/>
        </w:rPr>
        <w:t xml:space="preserve">  EPA agrees with some of these comments, especially that companies should primarily be responsible for this function.  EPA confirms that in the event a company is unable or unwilling to update the public copy, EPA will undertake this activity as needed to make the information available.  The addendum described in the rule would not summarize or otherwise obscure the non-CBI data.  Rather, this is envisioned </w:t>
      </w:r>
      <w:proofErr w:type="gramStart"/>
      <w:r w:rsidR="00A530FD" w:rsidRPr="00431BA7">
        <w:rPr>
          <w:rFonts w:cstheme="minorHAnsi"/>
          <w:sz w:val="24"/>
          <w:szCs w:val="24"/>
        </w:rPr>
        <w:t>as a means to</w:t>
      </w:r>
      <w:proofErr w:type="gramEnd"/>
      <w:r w:rsidR="00A530FD" w:rsidRPr="00431BA7">
        <w:rPr>
          <w:rFonts w:cstheme="minorHAnsi"/>
          <w:sz w:val="24"/>
          <w:szCs w:val="24"/>
        </w:rPr>
        <w:t xml:space="preserve"> disclose the </w:t>
      </w:r>
      <w:r w:rsidR="00700389" w:rsidRPr="00431BA7">
        <w:rPr>
          <w:rFonts w:cstheme="minorHAnsi"/>
          <w:sz w:val="24"/>
          <w:szCs w:val="24"/>
        </w:rPr>
        <w:t xml:space="preserve">now-non-CBI information </w:t>
      </w:r>
      <w:r w:rsidR="00A530FD" w:rsidRPr="00431BA7">
        <w:rPr>
          <w:rFonts w:cstheme="minorHAnsi"/>
          <w:sz w:val="24"/>
          <w:szCs w:val="24"/>
        </w:rPr>
        <w:t xml:space="preserve">without </w:t>
      </w:r>
      <w:r w:rsidR="00700389" w:rsidRPr="00431BA7">
        <w:rPr>
          <w:rFonts w:cstheme="minorHAnsi"/>
          <w:sz w:val="24"/>
          <w:szCs w:val="24"/>
        </w:rPr>
        <w:t>altering the original document</w:t>
      </w:r>
      <w:r w:rsidR="00A530FD" w:rsidRPr="00431BA7">
        <w:rPr>
          <w:rFonts w:cstheme="minorHAnsi"/>
          <w:sz w:val="24"/>
          <w:szCs w:val="24"/>
        </w:rPr>
        <w:t xml:space="preserve">.  </w:t>
      </w:r>
      <w:r w:rsidR="00700389" w:rsidRPr="00431BA7">
        <w:rPr>
          <w:rFonts w:cstheme="minorHAnsi"/>
          <w:sz w:val="24"/>
          <w:szCs w:val="24"/>
        </w:rPr>
        <w:t xml:space="preserve">The final rule clarifies this.  </w:t>
      </w:r>
      <w:r w:rsidR="00A530FD" w:rsidRPr="00431BA7">
        <w:rPr>
          <w:rFonts w:cstheme="minorHAnsi"/>
          <w:sz w:val="24"/>
          <w:szCs w:val="24"/>
        </w:rPr>
        <w:t xml:space="preserve">Concerning one comment that suggested that EPA should prepare new public versions where the data was fielded, and therefore a CBI checkbox could, in theory, simply be unchecked by EPA, EPA is </w:t>
      </w:r>
      <w:r w:rsidR="00A530FD" w:rsidRPr="00431BA7">
        <w:rPr>
          <w:rFonts w:cstheme="minorHAnsi"/>
          <w:sz w:val="24"/>
          <w:szCs w:val="24"/>
        </w:rPr>
        <w:lastRenderedPageBreak/>
        <w:t xml:space="preserve">considering whether this is technically feasible and </w:t>
      </w:r>
      <w:r w:rsidR="004D5A7E" w:rsidRPr="00431BA7">
        <w:rPr>
          <w:rFonts w:cstheme="minorHAnsi"/>
          <w:sz w:val="24"/>
          <w:szCs w:val="24"/>
        </w:rPr>
        <w:t>may be able to include it as an option in the future.</w:t>
      </w:r>
    </w:p>
    <w:p w14:paraId="2145F667" w14:textId="1D73EB8C" w:rsidR="000106CD" w:rsidRPr="00431BA7" w:rsidRDefault="000106CD" w:rsidP="004F0AEF">
      <w:pPr>
        <w:pStyle w:val="Heading2"/>
        <w:numPr>
          <w:ilvl w:val="0"/>
          <w:numId w:val="0"/>
        </w:numPr>
        <w:ind w:left="360" w:hanging="360"/>
      </w:pPr>
      <w:bookmarkStart w:id="23" w:name="_Toc132901193"/>
      <w:bookmarkEnd w:id="22"/>
      <w:r w:rsidRPr="00431BA7">
        <w:t>Unit 1</w:t>
      </w:r>
      <w:r w:rsidR="00E401BF" w:rsidRPr="00431BA7">
        <w:t>5</w:t>
      </w:r>
      <w:r w:rsidRPr="00431BA7">
        <w:t>: EPA Review under 14(g) (</w:t>
      </w:r>
      <w:r w:rsidR="00B6654E" w:rsidRPr="00431BA7">
        <w:t xml:space="preserve">40 CFR </w:t>
      </w:r>
      <w:r w:rsidRPr="00431BA7">
        <w:t>703.7)</w:t>
      </w:r>
      <w:bookmarkEnd w:id="23"/>
    </w:p>
    <w:p w14:paraId="0C095030" w14:textId="4E0C7878" w:rsidR="008D2755" w:rsidRPr="00431BA7" w:rsidRDefault="008D2755" w:rsidP="008D2755">
      <w:pPr>
        <w:rPr>
          <w:rFonts w:cstheme="minorHAnsi"/>
          <w:sz w:val="24"/>
          <w:szCs w:val="24"/>
        </w:rPr>
      </w:pPr>
      <w:bookmarkStart w:id="24" w:name="_Hlk113617961"/>
      <w:r w:rsidRPr="00431BA7">
        <w:rPr>
          <w:rFonts w:cstheme="minorHAnsi"/>
          <w:b/>
          <w:bCs/>
          <w:sz w:val="24"/>
          <w:szCs w:val="24"/>
        </w:rPr>
        <w:t>Comment</w:t>
      </w:r>
      <w:r w:rsidRPr="00431BA7">
        <w:rPr>
          <w:rFonts w:cstheme="minorHAnsi"/>
          <w:sz w:val="24"/>
          <w:szCs w:val="24"/>
        </w:rPr>
        <w:t>:</w:t>
      </w:r>
      <w:r w:rsidR="006B4CB0" w:rsidRPr="00431BA7">
        <w:rPr>
          <w:rFonts w:cstheme="minorHAnsi"/>
          <w:sz w:val="24"/>
          <w:szCs w:val="24"/>
        </w:rPr>
        <w:t xml:space="preserve">  Two commenters noted EPA’s use of permissive language or stated a probable outcome rather than stating a definite outcome.  E.g., EPA “may deny” versus “will deny.”</w:t>
      </w:r>
    </w:p>
    <w:p w14:paraId="09341B1A" w14:textId="5D9EAEE2" w:rsidR="00CE64AB" w:rsidRPr="00431BA7" w:rsidRDefault="00CE64AB" w:rsidP="008D2755">
      <w:pPr>
        <w:rPr>
          <w:rFonts w:cstheme="minorHAnsi"/>
          <w:sz w:val="24"/>
          <w:szCs w:val="24"/>
        </w:rPr>
      </w:pPr>
      <w:r w:rsidRPr="00431BA7">
        <w:rPr>
          <w:rFonts w:cstheme="minorHAnsi"/>
          <w:sz w:val="24"/>
          <w:szCs w:val="24"/>
        </w:rPr>
        <w:t>Source: -0049; -0050</w:t>
      </w:r>
    </w:p>
    <w:p w14:paraId="5C55FF2D" w14:textId="4DA68B20" w:rsidR="008D2755" w:rsidRPr="00431BA7" w:rsidRDefault="00060C02" w:rsidP="008D2755">
      <w:pPr>
        <w:rPr>
          <w:rFonts w:cstheme="minorHAnsi"/>
          <w:sz w:val="24"/>
          <w:szCs w:val="24"/>
        </w:rPr>
      </w:pPr>
      <w:r w:rsidRPr="00431BA7">
        <w:rPr>
          <w:rFonts w:cstheme="minorHAnsi"/>
          <w:b/>
          <w:bCs/>
          <w:sz w:val="24"/>
          <w:szCs w:val="24"/>
        </w:rPr>
        <w:t>Response</w:t>
      </w:r>
      <w:r w:rsidR="008D2755" w:rsidRPr="00431BA7">
        <w:rPr>
          <w:rFonts w:cstheme="minorHAnsi"/>
          <w:sz w:val="24"/>
          <w:szCs w:val="24"/>
        </w:rPr>
        <w:t>:</w:t>
      </w:r>
      <w:r w:rsidR="006B4CB0" w:rsidRPr="00431BA7">
        <w:rPr>
          <w:rFonts w:cstheme="minorHAnsi"/>
          <w:sz w:val="24"/>
          <w:szCs w:val="24"/>
        </w:rPr>
        <w:t xml:space="preserve">  EPA notes that the language employed was intentional, to allow the possibility that a CBI claim deficiency might be overcome or that the claim might no longer need a determination (such as if it were withdrawn, or the submitter made a persuasive argument that it was exempt from substantiation requirements).  Elsewhere, “may be” is used when discussing public disclosure.  Here it is not intended to suggest that disclosure is in doubt </w:t>
      </w:r>
      <w:r w:rsidR="006B4CB0" w:rsidRPr="00431BA7">
        <w:rPr>
          <w:rFonts w:cstheme="minorHAnsi"/>
          <w:i/>
          <w:iCs/>
          <w:sz w:val="24"/>
          <w:szCs w:val="24"/>
        </w:rPr>
        <w:t>when the information is requested,</w:t>
      </w:r>
      <w:r w:rsidR="006B4CB0" w:rsidRPr="00431BA7">
        <w:rPr>
          <w:rFonts w:cstheme="minorHAnsi"/>
          <w:sz w:val="24"/>
          <w:szCs w:val="24"/>
        </w:rPr>
        <w:t xml:space="preserve"> but rather to provide EPA with discretion and flexibility on </w:t>
      </w:r>
      <w:r w:rsidR="001A31EF" w:rsidRPr="00431BA7">
        <w:rPr>
          <w:rFonts w:cstheme="minorHAnsi"/>
          <w:sz w:val="24"/>
          <w:szCs w:val="24"/>
        </w:rPr>
        <w:t xml:space="preserve">the timing for </w:t>
      </w:r>
      <w:r w:rsidR="006B4CB0" w:rsidRPr="00431BA7">
        <w:rPr>
          <w:rFonts w:cstheme="minorHAnsi"/>
          <w:sz w:val="24"/>
          <w:szCs w:val="24"/>
        </w:rPr>
        <w:t xml:space="preserve">proactively or unilaterally disclosing </w:t>
      </w:r>
      <w:r w:rsidR="001A31EF" w:rsidRPr="00431BA7">
        <w:rPr>
          <w:rFonts w:cstheme="minorHAnsi"/>
          <w:sz w:val="24"/>
          <w:szCs w:val="24"/>
        </w:rPr>
        <w:t>data, particularly when there is little or no evident demand for the information</w:t>
      </w:r>
      <w:r w:rsidR="006B4CB0" w:rsidRPr="00431BA7">
        <w:rPr>
          <w:rFonts w:cstheme="minorHAnsi"/>
          <w:sz w:val="24"/>
          <w:szCs w:val="24"/>
        </w:rPr>
        <w:t xml:space="preserve">.  </w:t>
      </w:r>
    </w:p>
    <w:p w14:paraId="3DEAFB0F" w14:textId="17E6EF7E" w:rsidR="000106CD" w:rsidRPr="00431BA7" w:rsidRDefault="000106CD" w:rsidP="004F0AEF">
      <w:pPr>
        <w:pStyle w:val="Heading2"/>
        <w:numPr>
          <w:ilvl w:val="0"/>
          <w:numId w:val="0"/>
        </w:numPr>
        <w:ind w:left="360" w:hanging="360"/>
      </w:pPr>
      <w:bookmarkStart w:id="25" w:name="_Toc132901194"/>
      <w:bookmarkEnd w:id="24"/>
      <w:r w:rsidRPr="00431BA7">
        <w:t>Unit 1</w:t>
      </w:r>
      <w:r w:rsidR="00E401BF" w:rsidRPr="00431BA7">
        <w:t>6</w:t>
      </w:r>
      <w:r w:rsidRPr="00431BA7">
        <w:t>: Representative Subset of Case Selection (</w:t>
      </w:r>
      <w:r w:rsidR="00B6654E" w:rsidRPr="00431BA7">
        <w:t xml:space="preserve">40 CFR </w:t>
      </w:r>
      <w:r w:rsidRPr="00431BA7">
        <w:t>703.7(a))</w:t>
      </w:r>
      <w:bookmarkEnd w:id="25"/>
    </w:p>
    <w:p w14:paraId="2FA2DF41" w14:textId="6E81F2F0" w:rsidR="006C1C3B" w:rsidRPr="00431BA7" w:rsidRDefault="006C1C3B" w:rsidP="006C1C3B">
      <w:pPr>
        <w:rPr>
          <w:rFonts w:cstheme="minorHAnsi"/>
          <w:sz w:val="24"/>
          <w:szCs w:val="24"/>
        </w:rPr>
      </w:pPr>
      <w:r w:rsidRPr="00431BA7">
        <w:rPr>
          <w:rFonts w:cstheme="minorHAnsi"/>
          <w:b/>
          <w:bCs/>
          <w:sz w:val="24"/>
          <w:szCs w:val="24"/>
        </w:rPr>
        <w:t>Comment:</w:t>
      </w:r>
      <w:r w:rsidRPr="00431BA7">
        <w:rPr>
          <w:rFonts w:cstheme="minorHAnsi"/>
          <w:sz w:val="24"/>
          <w:szCs w:val="24"/>
        </w:rPr>
        <w:t xml:space="preserve">  One commenter noted that proposed 40 C.F.R. § 703.7(a)(2) uses permissive language (“may” review all non-exempt claims in 25% cases).  </w:t>
      </w:r>
    </w:p>
    <w:p w14:paraId="0A51E225" w14:textId="492E6965" w:rsidR="00CE64AB" w:rsidRPr="00431BA7" w:rsidRDefault="00CE64AB" w:rsidP="006C1C3B">
      <w:pPr>
        <w:rPr>
          <w:rFonts w:cstheme="minorHAnsi"/>
          <w:sz w:val="24"/>
          <w:szCs w:val="24"/>
        </w:rPr>
      </w:pPr>
      <w:r w:rsidRPr="00431BA7">
        <w:rPr>
          <w:rFonts w:cstheme="minorHAnsi"/>
          <w:sz w:val="24"/>
          <w:szCs w:val="24"/>
        </w:rPr>
        <w:t>Source: -0050</w:t>
      </w:r>
    </w:p>
    <w:p w14:paraId="165B9B5B" w14:textId="27A5177D" w:rsidR="006C1C3B" w:rsidRPr="00431BA7" w:rsidRDefault="00060C02" w:rsidP="006C1C3B">
      <w:pPr>
        <w:rPr>
          <w:rFonts w:cstheme="minorHAnsi"/>
          <w:sz w:val="24"/>
          <w:szCs w:val="24"/>
        </w:rPr>
      </w:pPr>
      <w:r w:rsidRPr="00431BA7">
        <w:rPr>
          <w:rFonts w:cstheme="minorHAnsi"/>
          <w:b/>
          <w:bCs/>
          <w:sz w:val="24"/>
          <w:szCs w:val="24"/>
        </w:rPr>
        <w:t>Response</w:t>
      </w:r>
      <w:r w:rsidR="006C1C3B" w:rsidRPr="00431BA7">
        <w:rPr>
          <w:rFonts w:cstheme="minorHAnsi"/>
          <w:sz w:val="24"/>
          <w:szCs w:val="24"/>
        </w:rPr>
        <w:t>:  EPA notes that this provision describes generally how EPA selects its representative subset of 25%.  EPA has observed that occasional deviations from a strict “one in four” selection are necessary to assure that at least 25% of cases with CBI claims are selected.  This may be necessary where, for example, all CBI claims were withdrawn shortly after being asserted.  EPA has revised the text from “may” to “will generally” to somewhat clarify that the permissive or general language pertains to the selection of the subset, not the size of the subset.</w:t>
      </w:r>
    </w:p>
    <w:p w14:paraId="5D495A2D" w14:textId="3C8ABEDF" w:rsidR="00911AE2" w:rsidRPr="00431BA7" w:rsidRDefault="00911AE2" w:rsidP="00911AE2">
      <w:pPr>
        <w:rPr>
          <w:rFonts w:cstheme="minorHAnsi"/>
          <w:sz w:val="24"/>
          <w:szCs w:val="24"/>
        </w:rPr>
      </w:pPr>
      <w:r w:rsidRPr="00431BA7">
        <w:rPr>
          <w:rFonts w:cstheme="minorHAnsi"/>
          <w:b/>
          <w:bCs/>
          <w:sz w:val="24"/>
          <w:szCs w:val="24"/>
        </w:rPr>
        <w:t>Comment</w:t>
      </w:r>
      <w:r w:rsidRPr="00431BA7">
        <w:rPr>
          <w:rFonts w:cstheme="minorHAnsi"/>
          <w:sz w:val="24"/>
          <w:szCs w:val="24"/>
        </w:rPr>
        <w:t>:</w:t>
      </w:r>
      <w:r w:rsidR="00AE08C6" w:rsidRPr="00431BA7">
        <w:rPr>
          <w:rFonts w:cstheme="minorHAnsi"/>
          <w:sz w:val="24"/>
          <w:szCs w:val="24"/>
        </w:rPr>
        <w:t xml:space="preserve">  EPA received several comments concerning how the Agency proposes to select claims to review as part of the “representative subset” of non-chemical identity claims described in TSCA section 14(g).  Some commenters </w:t>
      </w:r>
      <w:r w:rsidR="009A0F9C" w:rsidRPr="00431BA7">
        <w:rPr>
          <w:rFonts w:cstheme="minorHAnsi"/>
          <w:sz w:val="24"/>
          <w:szCs w:val="24"/>
        </w:rPr>
        <w:t>assert that because TSCA section 14(g)(1)(C)</w:t>
      </w:r>
      <w:r w:rsidR="00837B32" w:rsidRPr="00431BA7">
        <w:rPr>
          <w:rFonts w:cstheme="minorHAnsi"/>
          <w:sz w:val="24"/>
          <w:szCs w:val="24"/>
        </w:rPr>
        <w:t xml:space="preserve">(ii) requires EPA to review a representative subset of </w:t>
      </w:r>
      <w:r w:rsidR="009A0F9C" w:rsidRPr="00431BA7">
        <w:rPr>
          <w:sz w:val="24"/>
          <w:szCs w:val="24"/>
        </w:rPr>
        <w:t>“all other claims or requests</w:t>
      </w:r>
      <w:r w:rsidR="00837B32" w:rsidRPr="00431BA7">
        <w:rPr>
          <w:sz w:val="24"/>
          <w:szCs w:val="24"/>
        </w:rPr>
        <w:t xml:space="preserve">,” </w:t>
      </w:r>
      <w:r w:rsidR="009A0F9C" w:rsidRPr="00431BA7">
        <w:rPr>
          <w:sz w:val="24"/>
          <w:szCs w:val="24"/>
        </w:rPr>
        <w:t xml:space="preserve">EPA does not have the authority to exempt any </w:t>
      </w:r>
      <w:proofErr w:type="gramStart"/>
      <w:r w:rsidR="009A0F9C" w:rsidRPr="00431BA7">
        <w:rPr>
          <w:sz w:val="24"/>
          <w:szCs w:val="24"/>
        </w:rPr>
        <w:t>particular types</w:t>
      </w:r>
      <w:proofErr w:type="gramEnd"/>
      <w:r w:rsidR="009A0F9C" w:rsidRPr="00431BA7">
        <w:rPr>
          <w:sz w:val="24"/>
          <w:szCs w:val="24"/>
        </w:rPr>
        <w:t xml:space="preserve"> of CBI claims from </w:t>
      </w:r>
      <w:r w:rsidR="007D33CC" w:rsidRPr="00431BA7">
        <w:rPr>
          <w:sz w:val="24"/>
          <w:szCs w:val="24"/>
        </w:rPr>
        <w:t>the universe of its</w:t>
      </w:r>
      <w:r w:rsidR="009A0F9C" w:rsidRPr="00431BA7">
        <w:rPr>
          <w:sz w:val="24"/>
          <w:szCs w:val="24"/>
        </w:rPr>
        <w:t xml:space="preserve"> review</w:t>
      </w:r>
      <w:r w:rsidR="00837B32" w:rsidRPr="00431BA7">
        <w:rPr>
          <w:sz w:val="24"/>
          <w:szCs w:val="24"/>
        </w:rPr>
        <w:t xml:space="preserve"> (other than </w:t>
      </w:r>
      <w:r w:rsidR="00CD3F49" w:rsidRPr="00431BA7">
        <w:rPr>
          <w:sz w:val="24"/>
          <w:szCs w:val="24"/>
        </w:rPr>
        <w:t>what is specifically excluded in section 14(g)(1)(C)(i)</w:t>
      </w:r>
      <w:r w:rsidR="009A0F9C" w:rsidRPr="00431BA7">
        <w:rPr>
          <w:sz w:val="24"/>
          <w:szCs w:val="24"/>
        </w:rPr>
        <w:t xml:space="preserve">. </w:t>
      </w:r>
      <w:r w:rsidR="00CD3F49" w:rsidRPr="00431BA7">
        <w:rPr>
          <w:sz w:val="24"/>
          <w:szCs w:val="24"/>
        </w:rPr>
        <w:t>Specifically, some</w:t>
      </w:r>
      <w:r w:rsidR="00AE08C6" w:rsidRPr="00431BA7">
        <w:rPr>
          <w:sz w:val="24"/>
          <w:szCs w:val="24"/>
        </w:rPr>
        <w:t xml:space="preserve"> commenters </w:t>
      </w:r>
      <w:r w:rsidR="00AE08C6" w:rsidRPr="00431BA7">
        <w:rPr>
          <w:rFonts w:cstheme="minorHAnsi"/>
          <w:sz w:val="24"/>
          <w:szCs w:val="24"/>
        </w:rPr>
        <w:t>disagreed with excluding certain types of TSCA-related correspondence from the selection universe, while others agreed with EPA’s proposal.</w:t>
      </w:r>
      <w:r w:rsidR="00477810" w:rsidRPr="00431BA7">
        <w:rPr>
          <w:rFonts w:cstheme="minorHAnsi"/>
          <w:sz w:val="24"/>
          <w:szCs w:val="24"/>
        </w:rPr>
        <w:t xml:space="preserve"> </w:t>
      </w:r>
      <w:r w:rsidR="003B5130" w:rsidRPr="00431BA7">
        <w:rPr>
          <w:rFonts w:cstheme="minorHAnsi"/>
          <w:sz w:val="24"/>
          <w:szCs w:val="24"/>
        </w:rPr>
        <w:t xml:space="preserve"> </w:t>
      </w:r>
      <w:r w:rsidR="009D0FA6" w:rsidRPr="00431BA7">
        <w:rPr>
          <w:rFonts w:cstheme="minorHAnsi"/>
          <w:sz w:val="24"/>
          <w:szCs w:val="24"/>
        </w:rPr>
        <w:t xml:space="preserve">Some commenters were concerned about exclusions from the representative subset </w:t>
      </w:r>
      <w:r w:rsidR="00CE64AB" w:rsidRPr="00431BA7">
        <w:rPr>
          <w:rFonts w:cstheme="minorHAnsi"/>
          <w:sz w:val="24"/>
          <w:szCs w:val="24"/>
        </w:rPr>
        <w:t>in</w:t>
      </w:r>
      <w:r w:rsidR="00E06150" w:rsidRPr="00431BA7">
        <w:rPr>
          <w:rFonts w:cstheme="minorHAnsi"/>
          <w:sz w:val="24"/>
          <w:szCs w:val="24"/>
        </w:rPr>
        <w:t xml:space="preserve"> </w:t>
      </w:r>
      <w:r w:rsidR="00CE64AB" w:rsidRPr="00431BA7">
        <w:rPr>
          <w:rFonts w:cstheme="minorHAnsi"/>
          <w:sz w:val="24"/>
          <w:szCs w:val="24"/>
        </w:rPr>
        <w:t>g</w:t>
      </w:r>
      <w:r w:rsidR="009D0FA6" w:rsidRPr="00431BA7">
        <w:rPr>
          <w:rFonts w:cstheme="minorHAnsi"/>
          <w:sz w:val="24"/>
          <w:szCs w:val="24"/>
        </w:rPr>
        <w:t>eneral, or that excluding these submissions would result in less than 25% of TSCA claims being reviewed.</w:t>
      </w:r>
      <w:r w:rsidR="009C26E2" w:rsidRPr="00431BA7">
        <w:rPr>
          <w:rFonts w:cstheme="minorHAnsi"/>
          <w:sz w:val="24"/>
          <w:szCs w:val="24"/>
        </w:rPr>
        <w:t xml:space="preserve">  One commenter was </w:t>
      </w:r>
      <w:r w:rsidR="009C26E2" w:rsidRPr="00431BA7">
        <w:rPr>
          <w:rFonts w:cstheme="minorHAnsi"/>
          <w:sz w:val="24"/>
          <w:szCs w:val="24"/>
        </w:rPr>
        <w:lastRenderedPageBreak/>
        <w:t>concerned that publishing EPA’s case selection method would permit TSCA submitters to game the system to avoid CBI review for their submission.</w:t>
      </w:r>
    </w:p>
    <w:p w14:paraId="379E38EE" w14:textId="1EBB1B8C" w:rsidR="00CE64AB" w:rsidRPr="00431BA7" w:rsidRDefault="00CE64AB" w:rsidP="00911AE2">
      <w:pPr>
        <w:rPr>
          <w:rFonts w:cstheme="minorHAnsi"/>
          <w:sz w:val="24"/>
          <w:szCs w:val="24"/>
        </w:rPr>
      </w:pPr>
      <w:r w:rsidRPr="00431BA7">
        <w:rPr>
          <w:rFonts w:cstheme="minorHAnsi"/>
          <w:sz w:val="24"/>
          <w:szCs w:val="24"/>
        </w:rPr>
        <w:t>Source: -0050; -0049; -0044; -0053</w:t>
      </w:r>
    </w:p>
    <w:p w14:paraId="37889470" w14:textId="560046AE" w:rsidR="0089112F" w:rsidRPr="00431BA7" w:rsidRDefault="00060C02" w:rsidP="00911AE2">
      <w:pPr>
        <w:rPr>
          <w:rFonts w:cstheme="minorHAnsi"/>
          <w:sz w:val="24"/>
          <w:szCs w:val="24"/>
        </w:rPr>
      </w:pPr>
      <w:r w:rsidRPr="00431BA7">
        <w:rPr>
          <w:rFonts w:cstheme="minorHAnsi"/>
          <w:b/>
          <w:bCs/>
          <w:sz w:val="24"/>
          <w:szCs w:val="24"/>
        </w:rPr>
        <w:t>Response</w:t>
      </w:r>
      <w:r w:rsidR="00911AE2" w:rsidRPr="00431BA7">
        <w:rPr>
          <w:rFonts w:cstheme="minorHAnsi"/>
          <w:sz w:val="24"/>
          <w:szCs w:val="24"/>
        </w:rPr>
        <w:t>:</w:t>
      </w:r>
      <w:r w:rsidR="009D0FA6" w:rsidRPr="00431BA7">
        <w:rPr>
          <w:rFonts w:cstheme="minorHAnsi"/>
          <w:sz w:val="24"/>
          <w:szCs w:val="24"/>
        </w:rPr>
        <w:t xml:space="preserve">  </w:t>
      </w:r>
      <w:r w:rsidR="009C26E2" w:rsidRPr="00431BA7">
        <w:rPr>
          <w:rFonts w:cstheme="minorHAnsi"/>
          <w:sz w:val="24"/>
          <w:szCs w:val="24"/>
        </w:rPr>
        <w:t xml:space="preserve">EPA disagrees </w:t>
      </w:r>
      <w:r w:rsidR="00B578EF" w:rsidRPr="00431BA7">
        <w:rPr>
          <w:rFonts w:cstheme="minorHAnsi"/>
          <w:sz w:val="24"/>
          <w:szCs w:val="24"/>
        </w:rPr>
        <w:t xml:space="preserve">in part </w:t>
      </w:r>
      <w:r w:rsidR="009C26E2" w:rsidRPr="00431BA7">
        <w:rPr>
          <w:rFonts w:cstheme="minorHAnsi"/>
          <w:sz w:val="24"/>
          <w:szCs w:val="24"/>
        </w:rPr>
        <w:t xml:space="preserve">with the two commenters that criticized the proposed exclusions from the 25%.  </w:t>
      </w:r>
      <w:r w:rsidR="00437132" w:rsidRPr="00431BA7">
        <w:rPr>
          <w:rFonts w:cstheme="minorHAnsi"/>
          <w:sz w:val="24"/>
          <w:szCs w:val="24"/>
        </w:rPr>
        <w:t xml:space="preserve">First, </w:t>
      </w:r>
      <w:r w:rsidR="009D0FA6" w:rsidRPr="00431BA7">
        <w:rPr>
          <w:rFonts w:cstheme="minorHAnsi"/>
          <w:sz w:val="24"/>
          <w:szCs w:val="24"/>
        </w:rPr>
        <w:t xml:space="preserve">EPA notes that </w:t>
      </w:r>
      <w:r w:rsidR="00735178" w:rsidRPr="00431BA7">
        <w:rPr>
          <w:rFonts w:cstheme="minorHAnsi"/>
          <w:sz w:val="24"/>
          <w:szCs w:val="24"/>
        </w:rPr>
        <w:t>the final rule does not exclude</w:t>
      </w:r>
      <w:r w:rsidR="00475617" w:rsidRPr="00431BA7">
        <w:rPr>
          <w:rFonts w:cstheme="minorHAnsi"/>
          <w:sz w:val="24"/>
          <w:szCs w:val="24"/>
        </w:rPr>
        <w:t xml:space="preserve"> </w:t>
      </w:r>
      <w:r w:rsidR="00735178" w:rsidRPr="00431BA7">
        <w:rPr>
          <w:rFonts w:cstheme="minorHAnsi"/>
          <w:sz w:val="24"/>
          <w:szCs w:val="24"/>
        </w:rPr>
        <w:t>any claims or requests from the universe in section 14(g)(1)(C)(ii) that consists of “</w:t>
      </w:r>
      <w:r w:rsidR="00B540C3" w:rsidRPr="00431BA7">
        <w:rPr>
          <w:rFonts w:cstheme="minorHAnsi"/>
          <w:sz w:val="24"/>
          <w:szCs w:val="24"/>
        </w:rPr>
        <w:t>all other claims or requests</w:t>
      </w:r>
      <w:r w:rsidR="002C54EC" w:rsidRPr="00431BA7">
        <w:rPr>
          <w:rFonts w:cstheme="minorHAnsi"/>
          <w:sz w:val="24"/>
          <w:szCs w:val="24"/>
        </w:rPr>
        <w:t xml:space="preserve">.” </w:t>
      </w:r>
      <w:r w:rsidR="00A26629" w:rsidRPr="00431BA7">
        <w:rPr>
          <w:rFonts w:cstheme="minorHAnsi"/>
          <w:sz w:val="24"/>
          <w:szCs w:val="24"/>
        </w:rPr>
        <w:t xml:space="preserve">Rather, the final rule excludes certain claims from selection in the representative subset. </w:t>
      </w:r>
      <w:r w:rsidR="0070747A" w:rsidRPr="00431BA7">
        <w:rPr>
          <w:rFonts w:cstheme="minorHAnsi"/>
          <w:sz w:val="24"/>
          <w:szCs w:val="24"/>
        </w:rPr>
        <w:t>The result of these “exclusions” is the increased likelihood that a claim under another submission type would be reviewed</w:t>
      </w:r>
      <w:r w:rsidR="007A7416" w:rsidRPr="00431BA7">
        <w:rPr>
          <w:rFonts w:cstheme="minorHAnsi"/>
          <w:sz w:val="24"/>
          <w:szCs w:val="24"/>
        </w:rPr>
        <w:t xml:space="preserve">. </w:t>
      </w:r>
      <w:r w:rsidR="00D73C8D" w:rsidRPr="00431BA7">
        <w:rPr>
          <w:rFonts w:cstheme="minorHAnsi"/>
          <w:sz w:val="24"/>
          <w:szCs w:val="24"/>
        </w:rPr>
        <w:t xml:space="preserve">The process for </w:t>
      </w:r>
      <w:r w:rsidR="009D0FA6" w:rsidRPr="00431BA7">
        <w:rPr>
          <w:rFonts w:cstheme="minorHAnsi"/>
          <w:sz w:val="24"/>
          <w:szCs w:val="24"/>
        </w:rPr>
        <w:t>“making up for” the</w:t>
      </w:r>
      <w:r w:rsidR="00F716A6" w:rsidRPr="00431BA7">
        <w:rPr>
          <w:rFonts w:cstheme="minorHAnsi"/>
          <w:sz w:val="24"/>
          <w:szCs w:val="24"/>
        </w:rPr>
        <w:t xml:space="preserve"> </w:t>
      </w:r>
      <w:r w:rsidR="009D0FA6" w:rsidRPr="00431BA7">
        <w:rPr>
          <w:rFonts w:cstheme="minorHAnsi"/>
          <w:sz w:val="24"/>
          <w:szCs w:val="24"/>
        </w:rPr>
        <w:t xml:space="preserve">exclusions </w:t>
      </w:r>
      <w:r w:rsidR="009C26E2" w:rsidRPr="00431BA7">
        <w:rPr>
          <w:rFonts w:cstheme="minorHAnsi"/>
          <w:sz w:val="24"/>
          <w:szCs w:val="24"/>
        </w:rPr>
        <w:t xml:space="preserve">is one consideration EPA had in proposing the somewhat flexible language on selection of the 25%, that EPA </w:t>
      </w:r>
      <w:r w:rsidR="009C26E2" w:rsidRPr="00431BA7">
        <w:rPr>
          <w:rFonts w:cstheme="minorHAnsi"/>
          <w:i/>
          <w:iCs/>
          <w:sz w:val="24"/>
          <w:szCs w:val="24"/>
        </w:rPr>
        <w:t>may</w:t>
      </w:r>
      <w:r w:rsidR="009C26E2" w:rsidRPr="00431BA7">
        <w:rPr>
          <w:rFonts w:cstheme="minorHAnsi"/>
          <w:sz w:val="24"/>
          <w:szCs w:val="24"/>
        </w:rPr>
        <w:t xml:space="preserve"> or </w:t>
      </w:r>
      <w:r w:rsidR="009C26E2" w:rsidRPr="00431BA7">
        <w:rPr>
          <w:rFonts w:cstheme="minorHAnsi"/>
          <w:i/>
          <w:iCs/>
          <w:sz w:val="24"/>
          <w:szCs w:val="24"/>
        </w:rPr>
        <w:t>will generally</w:t>
      </w:r>
      <w:r w:rsidR="009C26E2" w:rsidRPr="00431BA7">
        <w:rPr>
          <w:rFonts w:cstheme="minorHAnsi"/>
          <w:sz w:val="24"/>
          <w:szCs w:val="24"/>
        </w:rPr>
        <w:t xml:space="preserve"> review all claims in every fourth submission.  Among other things, such language permits varying from the “one in four” selection method to assure that the 25% requirement is met.  </w:t>
      </w:r>
      <w:r w:rsidR="00DE146C" w:rsidRPr="00431BA7">
        <w:rPr>
          <w:rFonts w:cstheme="minorHAnsi"/>
          <w:sz w:val="24"/>
          <w:szCs w:val="24"/>
        </w:rPr>
        <w:t xml:space="preserve">EPA is considering how it may best develop capabilities that would permit it to periodically compile statistics comparing the total number of CBI-containing submissions and claims within those submissions to the number of submissions and claims </w:t>
      </w:r>
      <w:proofErr w:type="gramStart"/>
      <w:r w:rsidR="00DE146C" w:rsidRPr="00431BA7">
        <w:rPr>
          <w:rFonts w:cstheme="minorHAnsi"/>
          <w:sz w:val="24"/>
          <w:szCs w:val="24"/>
        </w:rPr>
        <w:t>actually reviewed</w:t>
      </w:r>
      <w:proofErr w:type="gramEnd"/>
      <w:r w:rsidR="00DE146C" w:rsidRPr="00431BA7">
        <w:rPr>
          <w:rFonts w:cstheme="minorHAnsi"/>
          <w:sz w:val="24"/>
          <w:szCs w:val="24"/>
        </w:rPr>
        <w:t xml:space="preserve">.  EPA expects that a periodic audit of this nature will assure that at least 25% of </w:t>
      </w:r>
      <w:r w:rsidR="00B34A73" w:rsidRPr="00431BA7">
        <w:rPr>
          <w:rFonts w:cstheme="minorHAnsi"/>
          <w:sz w:val="24"/>
          <w:szCs w:val="24"/>
        </w:rPr>
        <w:t xml:space="preserve">non-chemical identity </w:t>
      </w:r>
      <w:r w:rsidR="00DE146C" w:rsidRPr="00431BA7">
        <w:rPr>
          <w:rFonts w:cstheme="minorHAnsi"/>
          <w:sz w:val="24"/>
          <w:szCs w:val="24"/>
        </w:rPr>
        <w:t xml:space="preserve">claims are reviewed.  For the time being, </w:t>
      </w:r>
      <w:r w:rsidR="003D6367" w:rsidRPr="00431BA7">
        <w:rPr>
          <w:rFonts w:cstheme="minorHAnsi"/>
          <w:sz w:val="24"/>
          <w:szCs w:val="24"/>
        </w:rPr>
        <w:t xml:space="preserve">EPA notes that most of the document or submission types that are excluded from the representative subset </w:t>
      </w:r>
      <w:r w:rsidR="00B34A73" w:rsidRPr="00431BA7">
        <w:rPr>
          <w:rFonts w:cstheme="minorHAnsi"/>
          <w:sz w:val="24"/>
          <w:szCs w:val="24"/>
        </w:rPr>
        <w:t xml:space="preserve">in the final rule </w:t>
      </w:r>
      <w:r w:rsidR="003D6367" w:rsidRPr="00431BA7">
        <w:rPr>
          <w:rFonts w:cstheme="minorHAnsi"/>
          <w:sz w:val="24"/>
          <w:szCs w:val="24"/>
        </w:rPr>
        <w:t xml:space="preserve">are not numerous </w:t>
      </w:r>
      <w:r w:rsidR="0088533E" w:rsidRPr="00431BA7">
        <w:rPr>
          <w:rFonts w:cstheme="minorHAnsi"/>
          <w:sz w:val="24"/>
          <w:szCs w:val="24"/>
        </w:rPr>
        <w:t xml:space="preserve">(e.g., EPA received 143 bonafide notices in FY22 that </w:t>
      </w:r>
      <w:r w:rsidR="00B34A73" w:rsidRPr="00431BA7">
        <w:rPr>
          <w:rFonts w:cstheme="minorHAnsi"/>
          <w:sz w:val="24"/>
          <w:szCs w:val="24"/>
        </w:rPr>
        <w:t xml:space="preserve">were flagged as </w:t>
      </w:r>
      <w:r w:rsidR="0088533E" w:rsidRPr="00431BA7">
        <w:rPr>
          <w:rFonts w:cstheme="minorHAnsi"/>
          <w:sz w:val="24"/>
          <w:szCs w:val="24"/>
        </w:rPr>
        <w:t>includ</w:t>
      </w:r>
      <w:r w:rsidR="00B34A73" w:rsidRPr="00431BA7">
        <w:rPr>
          <w:rFonts w:cstheme="minorHAnsi"/>
          <w:sz w:val="24"/>
          <w:szCs w:val="24"/>
        </w:rPr>
        <w:t>ing</w:t>
      </w:r>
      <w:r w:rsidR="0088533E" w:rsidRPr="00431BA7">
        <w:rPr>
          <w:rFonts w:cstheme="minorHAnsi"/>
          <w:sz w:val="24"/>
          <w:szCs w:val="24"/>
        </w:rPr>
        <w:t xml:space="preserve"> at least one CBI claim, including for chemical identity, but only </w:t>
      </w:r>
      <w:r w:rsidR="00B34A73" w:rsidRPr="00431BA7">
        <w:rPr>
          <w:rFonts w:cstheme="minorHAnsi"/>
          <w:sz w:val="24"/>
          <w:szCs w:val="24"/>
        </w:rPr>
        <w:t>14</w:t>
      </w:r>
      <w:r w:rsidR="0088533E" w:rsidRPr="00431BA7">
        <w:rPr>
          <w:rFonts w:cstheme="minorHAnsi"/>
          <w:sz w:val="24"/>
          <w:szCs w:val="24"/>
        </w:rPr>
        <w:t xml:space="preserve"> </w:t>
      </w:r>
      <w:r w:rsidR="00B34A73" w:rsidRPr="00431BA7">
        <w:rPr>
          <w:rFonts w:cstheme="minorHAnsi"/>
          <w:sz w:val="24"/>
          <w:szCs w:val="24"/>
        </w:rPr>
        <w:t xml:space="preserve">were ultimately </w:t>
      </w:r>
      <w:r w:rsidR="006C1C3B" w:rsidRPr="00431BA7">
        <w:rPr>
          <w:rFonts w:cstheme="minorHAnsi"/>
          <w:sz w:val="24"/>
          <w:szCs w:val="24"/>
        </w:rPr>
        <w:t xml:space="preserve">determined to include non-exempt claims and </w:t>
      </w:r>
      <w:r w:rsidR="00B34A73" w:rsidRPr="00431BA7">
        <w:rPr>
          <w:rFonts w:cstheme="minorHAnsi"/>
          <w:sz w:val="24"/>
          <w:szCs w:val="24"/>
        </w:rPr>
        <w:t>review</w:t>
      </w:r>
      <w:r w:rsidR="006C1C3B" w:rsidRPr="00431BA7">
        <w:rPr>
          <w:rFonts w:cstheme="minorHAnsi"/>
          <w:sz w:val="24"/>
          <w:szCs w:val="24"/>
        </w:rPr>
        <w:t>ed</w:t>
      </w:r>
      <w:r w:rsidR="00B34A73" w:rsidRPr="00431BA7">
        <w:rPr>
          <w:rFonts w:cstheme="minorHAnsi"/>
          <w:sz w:val="24"/>
          <w:szCs w:val="24"/>
        </w:rPr>
        <w:t xml:space="preserve"> as part of the 25%</w:t>
      </w:r>
      <w:r w:rsidR="0088533E" w:rsidRPr="00431BA7">
        <w:rPr>
          <w:rFonts w:cstheme="minorHAnsi"/>
          <w:sz w:val="24"/>
          <w:szCs w:val="24"/>
        </w:rPr>
        <w:t xml:space="preserve">) </w:t>
      </w:r>
      <w:r w:rsidR="003D6367" w:rsidRPr="00431BA7">
        <w:rPr>
          <w:rFonts w:cstheme="minorHAnsi"/>
          <w:sz w:val="24"/>
          <w:szCs w:val="24"/>
        </w:rPr>
        <w:t>and typically contain far fewer claims than other TSCA submissions that are included in the subset, such as PMNs and CDR submissions, or include claims that are duplicated in another submission (e.g., claims in a bona fide notice could be repeated in a later PMN).</w:t>
      </w:r>
    </w:p>
    <w:p w14:paraId="39A03EDA" w14:textId="34C94474" w:rsidR="00031F52" w:rsidRPr="00431BA7" w:rsidRDefault="00437132" w:rsidP="00911AE2">
      <w:pPr>
        <w:rPr>
          <w:rFonts w:cstheme="minorHAnsi"/>
          <w:sz w:val="24"/>
          <w:szCs w:val="24"/>
        </w:rPr>
      </w:pPr>
      <w:r w:rsidRPr="00431BA7">
        <w:rPr>
          <w:rFonts w:cstheme="minorHAnsi"/>
          <w:sz w:val="24"/>
          <w:szCs w:val="24"/>
        </w:rPr>
        <w:t xml:space="preserve">Second, EPA </w:t>
      </w:r>
      <w:r w:rsidR="00313944" w:rsidRPr="00431BA7">
        <w:rPr>
          <w:rFonts w:cstheme="minorHAnsi"/>
          <w:sz w:val="24"/>
          <w:szCs w:val="24"/>
        </w:rPr>
        <w:t xml:space="preserve">does have discretion to determine which </w:t>
      </w:r>
      <w:r w:rsidR="00E65171" w:rsidRPr="00431BA7">
        <w:rPr>
          <w:rFonts w:cstheme="minorHAnsi"/>
          <w:sz w:val="24"/>
          <w:szCs w:val="24"/>
        </w:rPr>
        <w:t xml:space="preserve">claims are reviewed as part of the “representative subset” and is finalizing the exclusions from the proposal. EPA </w:t>
      </w:r>
      <w:r w:rsidRPr="00431BA7">
        <w:rPr>
          <w:rFonts w:cstheme="minorHAnsi"/>
          <w:sz w:val="24"/>
          <w:szCs w:val="24"/>
        </w:rPr>
        <w:t xml:space="preserve">notes that in the case of pre-notice correspondence and bona fide inquiries, EPA has observed that these submissions do not include much, if any, substantive information on the chemical, beyond its identity and the identity of the company inquiring into prospective manufacture of the substance, and that if a TSCA </w:t>
      </w:r>
      <w:r w:rsidR="00D77B62" w:rsidRPr="00431BA7">
        <w:rPr>
          <w:rFonts w:cstheme="minorHAnsi"/>
          <w:sz w:val="24"/>
          <w:szCs w:val="24"/>
        </w:rPr>
        <w:t xml:space="preserve">section 5 </w:t>
      </w:r>
      <w:r w:rsidRPr="00431BA7">
        <w:rPr>
          <w:rFonts w:cstheme="minorHAnsi"/>
          <w:sz w:val="24"/>
          <w:szCs w:val="24"/>
        </w:rPr>
        <w:t>submission is required, this same information and considerably more detail would be included in the section 5 submission.</w:t>
      </w:r>
      <w:r w:rsidR="00103B68" w:rsidRPr="00431BA7">
        <w:rPr>
          <w:rFonts w:cstheme="minorHAnsi"/>
          <w:sz w:val="24"/>
          <w:szCs w:val="24"/>
        </w:rPr>
        <w:t xml:space="preserve">  </w:t>
      </w:r>
      <w:r w:rsidR="00D77B62" w:rsidRPr="00431BA7">
        <w:rPr>
          <w:rFonts w:cstheme="minorHAnsi"/>
          <w:sz w:val="24"/>
          <w:szCs w:val="24"/>
        </w:rPr>
        <w:t xml:space="preserve">CBI review of these claims would be redundant.  A similar rationale applies to excluding amendments as submissions subject to selection.  </w:t>
      </w:r>
    </w:p>
    <w:p w14:paraId="621556EC" w14:textId="42FCE44D" w:rsidR="00911AE2" w:rsidRPr="00431BA7" w:rsidRDefault="00031F52" w:rsidP="00911AE2">
      <w:pPr>
        <w:rPr>
          <w:rFonts w:cstheme="minorHAnsi"/>
          <w:sz w:val="24"/>
          <w:szCs w:val="24"/>
        </w:rPr>
      </w:pPr>
      <w:r w:rsidRPr="00431BA7">
        <w:rPr>
          <w:rFonts w:cstheme="minorHAnsi"/>
          <w:sz w:val="24"/>
          <w:szCs w:val="24"/>
        </w:rPr>
        <w:t>Additionally, i</w:t>
      </w:r>
      <w:r w:rsidR="00103B68" w:rsidRPr="00431BA7">
        <w:rPr>
          <w:rFonts w:cstheme="minorHAnsi"/>
          <w:sz w:val="24"/>
          <w:szCs w:val="24"/>
        </w:rPr>
        <w:t xml:space="preserve">n the case of </w:t>
      </w:r>
      <w:r w:rsidR="000F3D64" w:rsidRPr="00431BA7">
        <w:rPr>
          <w:rFonts w:cstheme="minorHAnsi"/>
          <w:sz w:val="24"/>
          <w:szCs w:val="24"/>
        </w:rPr>
        <w:t xml:space="preserve">information that </w:t>
      </w:r>
      <w:r w:rsidRPr="00431BA7">
        <w:rPr>
          <w:rFonts w:cstheme="minorHAnsi"/>
          <w:sz w:val="24"/>
          <w:szCs w:val="24"/>
        </w:rPr>
        <w:t>is</w:t>
      </w:r>
      <w:r w:rsidR="000F3D64" w:rsidRPr="00431BA7">
        <w:rPr>
          <w:rFonts w:cstheme="minorHAnsi"/>
          <w:sz w:val="24"/>
          <w:szCs w:val="24"/>
        </w:rPr>
        <w:t xml:space="preserve"> submitted by means other than CDX</w:t>
      </w:r>
      <w:r w:rsidR="00103B68" w:rsidRPr="00431BA7">
        <w:rPr>
          <w:rFonts w:cstheme="minorHAnsi"/>
          <w:sz w:val="24"/>
          <w:szCs w:val="24"/>
        </w:rPr>
        <w:t>, it should be noted that EPA</w:t>
      </w:r>
      <w:r w:rsidR="00F70B13" w:rsidRPr="00431BA7">
        <w:rPr>
          <w:rFonts w:cstheme="minorHAnsi"/>
          <w:sz w:val="24"/>
          <w:szCs w:val="24"/>
        </w:rPr>
        <w:t xml:space="preserve"> expects this to happen infrequently </w:t>
      </w:r>
      <w:proofErr w:type="gramStart"/>
      <w:r w:rsidR="00F70B13" w:rsidRPr="00431BA7">
        <w:rPr>
          <w:rFonts w:cstheme="minorHAnsi"/>
          <w:sz w:val="24"/>
          <w:szCs w:val="24"/>
        </w:rPr>
        <w:t>in light of</w:t>
      </w:r>
      <w:proofErr w:type="gramEnd"/>
      <w:r w:rsidR="00F70B13" w:rsidRPr="00431BA7">
        <w:rPr>
          <w:rFonts w:cstheme="minorHAnsi"/>
          <w:sz w:val="24"/>
          <w:szCs w:val="24"/>
        </w:rPr>
        <w:t xml:space="preserve"> expanded electronic reporting requirements for nearly all information reported to or otherwise obtained under TSCA (see 40 CFR 703.5(f)).  To the extent that information under section 11 may be excluded from such requirements, EPA</w:t>
      </w:r>
      <w:r w:rsidR="00103B68" w:rsidRPr="00431BA7">
        <w:rPr>
          <w:rFonts w:cstheme="minorHAnsi"/>
          <w:sz w:val="24"/>
          <w:szCs w:val="24"/>
        </w:rPr>
        <w:t xml:space="preserve"> uses </w:t>
      </w:r>
      <w:r w:rsidR="000F3D64" w:rsidRPr="00431BA7">
        <w:rPr>
          <w:rFonts w:cstheme="minorHAnsi"/>
          <w:sz w:val="24"/>
          <w:szCs w:val="24"/>
        </w:rPr>
        <w:t>subpoena</w:t>
      </w:r>
      <w:r w:rsidR="00103B68" w:rsidRPr="00431BA7">
        <w:rPr>
          <w:rFonts w:cstheme="minorHAnsi"/>
          <w:sz w:val="24"/>
          <w:szCs w:val="24"/>
        </w:rPr>
        <w:t xml:space="preserve"> authority in TSCA relatively infrequently an</w:t>
      </w:r>
      <w:r w:rsidR="000F3D64" w:rsidRPr="00431BA7">
        <w:rPr>
          <w:rFonts w:cstheme="minorHAnsi"/>
          <w:sz w:val="24"/>
          <w:szCs w:val="24"/>
        </w:rPr>
        <w:t xml:space="preserve">d </w:t>
      </w:r>
      <w:r w:rsidR="00103B68" w:rsidRPr="00431BA7">
        <w:rPr>
          <w:rFonts w:cstheme="minorHAnsi"/>
          <w:sz w:val="24"/>
          <w:szCs w:val="24"/>
        </w:rPr>
        <w:t>would expect that such submissions would be of sufficient importance and public interest that a 14(f) review</w:t>
      </w:r>
      <w:r w:rsidR="00D77B62" w:rsidRPr="00431BA7">
        <w:rPr>
          <w:rFonts w:cstheme="minorHAnsi"/>
          <w:sz w:val="24"/>
          <w:szCs w:val="24"/>
        </w:rPr>
        <w:t xml:space="preserve"> </w:t>
      </w:r>
      <w:r w:rsidR="00D77B62" w:rsidRPr="00431BA7">
        <w:rPr>
          <w:rFonts w:cstheme="minorHAnsi"/>
          <w:sz w:val="24"/>
          <w:szCs w:val="24"/>
        </w:rPr>
        <w:lastRenderedPageBreak/>
        <w:t>of any CBI claims</w:t>
      </w:r>
      <w:r w:rsidR="00103B68" w:rsidRPr="00431BA7">
        <w:rPr>
          <w:rFonts w:cstheme="minorHAnsi"/>
          <w:sz w:val="24"/>
          <w:szCs w:val="24"/>
        </w:rPr>
        <w:t xml:space="preserve"> would not be unexpected</w:t>
      </w:r>
      <w:r w:rsidR="00D77B62" w:rsidRPr="00431BA7">
        <w:rPr>
          <w:rFonts w:cstheme="minorHAnsi"/>
          <w:sz w:val="24"/>
          <w:szCs w:val="24"/>
        </w:rPr>
        <w:t>, if for example the information were requested under FOIA, or if EPA had reason to believe information claimed as CBI was not entitled to such treatment</w:t>
      </w:r>
      <w:r w:rsidR="00103B68" w:rsidRPr="00431BA7">
        <w:rPr>
          <w:rFonts w:cstheme="minorHAnsi"/>
          <w:sz w:val="24"/>
          <w:szCs w:val="24"/>
        </w:rPr>
        <w:t>.</w:t>
      </w:r>
      <w:r w:rsidR="00D77B62" w:rsidRPr="00431BA7">
        <w:rPr>
          <w:rFonts w:cstheme="minorHAnsi"/>
          <w:sz w:val="24"/>
          <w:szCs w:val="24"/>
        </w:rPr>
        <w:t xml:space="preserve">  </w:t>
      </w:r>
      <w:r w:rsidR="000F3D64" w:rsidRPr="00431BA7">
        <w:rPr>
          <w:rFonts w:cstheme="minorHAnsi"/>
          <w:sz w:val="24"/>
          <w:szCs w:val="24"/>
        </w:rPr>
        <w:t xml:space="preserve">Also similarly, given that most TSCA submissions must now be made via CDX, EPA expects to collect paper or other submissions outside of CDX only in </w:t>
      </w:r>
      <w:proofErr w:type="gramStart"/>
      <w:r w:rsidR="000F3D64" w:rsidRPr="00431BA7">
        <w:rPr>
          <w:rFonts w:cstheme="minorHAnsi"/>
          <w:sz w:val="24"/>
          <w:szCs w:val="24"/>
        </w:rPr>
        <w:t>fairly unusual</w:t>
      </w:r>
      <w:proofErr w:type="gramEnd"/>
      <w:r w:rsidR="000F3D64" w:rsidRPr="00431BA7">
        <w:rPr>
          <w:rFonts w:cstheme="minorHAnsi"/>
          <w:sz w:val="24"/>
          <w:szCs w:val="24"/>
        </w:rPr>
        <w:t xml:space="preserve"> circumstances—circumstances where EPA would expect CBI claims to get more scrutiny than the average CDX submission, and where 14(f) review may be a strong possibility.</w:t>
      </w:r>
    </w:p>
    <w:p w14:paraId="1EFCA4C2" w14:textId="636F22CD" w:rsidR="00911AE2" w:rsidRPr="00431BA7" w:rsidRDefault="00D77B62" w:rsidP="000140FB">
      <w:pPr>
        <w:rPr>
          <w:rFonts w:cstheme="minorHAnsi"/>
          <w:sz w:val="24"/>
          <w:szCs w:val="24"/>
        </w:rPr>
      </w:pPr>
      <w:r w:rsidRPr="00431BA7">
        <w:rPr>
          <w:rFonts w:cstheme="minorHAnsi"/>
          <w:sz w:val="24"/>
          <w:szCs w:val="24"/>
        </w:rPr>
        <w:t xml:space="preserve">For the comment concerned with </w:t>
      </w:r>
      <w:r w:rsidR="006322A7" w:rsidRPr="00431BA7">
        <w:rPr>
          <w:rFonts w:cstheme="minorHAnsi"/>
          <w:sz w:val="24"/>
          <w:szCs w:val="24"/>
        </w:rPr>
        <w:t xml:space="preserve">EPA’s inclusion of the selection methodology in the rule, EPA notes that the </w:t>
      </w:r>
      <w:r w:rsidR="00DE3CFD" w:rsidRPr="00431BA7">
        <w:rPr>
          <w:rFonts w:cstheme="minorHAnsi"/>
          <w:sz w:val="24"/>
          <w:szCs w:val="24"/>
        </w:rPr>
        <w:t>one</w:t>
      </w:r>
      <w:r w:rsidR="006322A7" w:rsidRPr="00431BA7">
        <w:rPr>
          <w:rFonts w:cstheme="minorHAnsi"/>
          <w:sz w:val="24"/>
          <w:szCs w:val="24"/>
        </w:rPr>
        <w:t xml:space="preserve"> in </w:t>
      </w:r>
      <w:r w:rsidR="00DE3CFD" w:rsidRPr="00431BA7">
        <w:rPr>
          <w:rFonts w:cstheme="minorHAnsi"/>
          <w:sz w:val="24"/>
          <w:szCs w:val="24"/>
        </w:rPr>
        <w:t>four</w:t>
      </w:r>
      <w:r w:rsidR="006322A7" w:rsidRPr="00431BA7">
        <w:rPr>
          <w:rFonts w:cstheme="minorHAnsi"/>
          <w:sz w:val="24"/>
          <w:szCs w:val="24"/>
        </w:rPr>
        <w:t xml:space="preserve"> method is applied as TSCA submissions come to EPA via CDX and EPA receives many submissions every day.  Any given submitter does not and cannot know how many other CBI submissions came in just before or just after his, which ones contain CBI, or otherwise anticipate where his submission falls in the </w:t>
      </w:r>
      <w:r w:rsidR="00056305" w:rsidRPr="00431BA7">
        <w:rPr>
          <w:rFonts w:cstheme="minorHAnsi"/>
          <w:sz w:val="24"/>
          <w:szCs w:val="24"/>
        </w:rPr>
        <w:t>one</w:t>
      </w:r>
      <w:r w:rsidR="006322A7" w:rsidRPr="00431BA7">
        <w:rPr>
          <w:rFonts w:cstheme="minorHAnsi"/>
          <w:sz w:val="24"/>
          <w:szCs w:val="24"/>
        </w:rPr>
        <w:t xml:space="preserve"> in </w:t>
      </w:r>
      <w:r w:rsidR="00056305" w:rsidRPr="00431BA7">
        <w:rPr>
          <w:rFonts w:cstheme="minorHAnsi"/>
          <w:sz w:val="24"/>
          <w:szCs w:val="24"/>
        </w:rPr>
        <w:t>four</w:t>
      </w:r>
      <w:r w:rsidR="006322A7" w:rsidRPr="00431BA7">
        <w:rPr>
          <w:rFonts w:cstheme="minorHAnsi"/>
          <w:sz w:val="24"/>
          <w:szCs w:val="24"/>
        </w:rPr>
        <w:t xml:space="preserve"> </w:t>
      </w:r>
      <w:proofErr w:type="gramStart"/>
      <w:r w:rsidR="006322A7" w:rsidRPr="00431BA7">
        <w:rPr>
          <w:rFonts w:cstheme="minorHAnsi"/>
          <w:sz w:val="24"/>
          <w:szCs w:val="24"/>
        </w:rPr>
        <w:t>count</w:t>
      </w:r>
      <w:proofErr w:type="gramEnd"/>
      <w:r w:rsidR="006322A7" w:rsidRPr="00431BA7">
        <w:rPr>
          <w:rFonts w:cstheme="minorHAnsi"/>
          <w:sz w:val="24"/>
          <w:szCs w:val="24"/>
        </w:rPr>
        <w:t>.  Submitters that make four or more submissions with CBI claims simultaneously, on the other hand, might be generally assured at least one of their submissions will be selected, but they would have no way of knowing which one</w:t>
      </w:r>
      <w:r w:rsidR="00F23F16" w:rsidRPr="00431BA7">
        <w:rPr>
          <w:rFonts w:cstheme="minorHAnsi"/>
          <w:sz w:val="24"/>
          <w:szCs w:val="24"/>
        </w:rPr>
        <w:t xml:space="preserve"> until they receive the CBI determination</w:t>
      </w:r>
      <w:r w:rsidR="006322A7" w:rsidRPr="00431BA7">
        <w:rPr>
          <w:rFonts w:cstheme="minorHAnsi"/>
          <w:sz w:val="24"/>
          <w:szCs w:val="24"/>
        </w:rPr>
        <w:t>.</w:t>
      </w:r>
    </w:p>
    <w:p w14:paraId="555B7CA4" w14:textId="278A775E" w:rsidR="000106CD" w:rsidRPr="00431BA7" w:rsidRDefault="000106CD" w:rsidP="004F0AEF">
      <w:pPr>
        <w:pStyle w:val="Heading2"/>
        <w:numPr>
          <w:ilvl w:val="0"/>
          <w:numId w:val="0"/>
        </w:numPr>
        <w:ind w:left="360" w:hanging="360"/>
      </w:pPr>
      <w:bookmarkStart w:id="26" w:name="_Toc132901195"/>
      <w:r w:rsidRPr="00431BA7">
        <w:t>Unit 1</w:t>
      </w:r>
      <w:r w:rsidR="00E401BF" w:rsidRPr="00431BA7">
        <w:t>7</w:t>
      </w:r>
      <w:r w:rsidRPr="00431BA7">
        <w:t>: Review Period/Effect of Amendments (</w:t>
      </w:r>
      <w:r w:rsidR="00B6654E" w:rsidRPr="00431BA7">
        <w:t xml:space="preserve">40 CFR </w:t>
      </w:r>
      <w:r w:rsidRPr="00431BA7">
        <w:t>703.7(c))</w:t>
      </w:r>
      <w:bookmarkEnd w:id="26"/>
    </w:p>
    <w:p w14:paraId="7E15519C" w14:textId="0AEBFD1F" w:rsidR="00911AE2" w:rsidRPr="00431BA7" w:rsidRDefault="00911AE2" w:rsidP="00911AE2">
      <w:pPr>
        <w:rPr>
          <w:rFonts w:cstheme="minorHAnsi"/>
          <w:sz w:val="24"/>
          <w:szCs w:val="24"/>
        </w:rPr>
      </w:pPr>
      <w:r w:rsidRPr="00431BA7">
        <w:rPr>
          <w:rFonts w:cstheme="minorHAnsi"/>
          <w:b/>
          <w:bCs/>
          <w:sz w:val="24"/>
          <w:szCs w:val="24"/>
        </w:rPr>
        <w:t>Comment</w:t>
      </w:r>
      <w:r w:rsidRPr="00431BA7">
        <w:rPr>
          <w:rFonts w:cstheme="minorHAnsi"/>
          <w:sz w:val="24"/>
          <w:szCs w:val="24"/>
        </w:rPr>
        <w:t>:</w:t>
      </w:r>
      <w:r w:rsidR="00300732" w:rsidRPr="00431BA7">
        <w:rPr>
          <w:rFonts w:cstheme="minorHAnsi"/>
          <w:sz w:val="24"/>
          <w:szCs w:val="24"/>
        </w:rPr>
        <w:t xml:space="preserve"> EPA received a few comments concerning the treatment of amendments to submissions made during the review period.  A few commenters advocated that each amendment be treated as a different submission and </w:t>
      </w:r>
      <w:r w:rsidR="006665AF" w:rsidRPr="00431BA7">
        <w:rPr>
          <w:rFonts w:cstheme="minorHAnsi"/>
          <w:sz w:val="24"/>
          <w:szCs w:val="24"/>
        </w:rPr>
        <w:t>reviewed as selected in the 25% subset.  One commenter expressed a concern that new claims would not be permitted after 60 days.</w:t>
      </w:r>
    </w:p>
    <w:p w14:paraId="1A5A3B39" w14:textId="44D222BE" w:rsidR="00CE64AB" w:rsidRPr="00431BA7" w:rsidRDefault="00CE64AB" w:rsidP="00911AE2">
      <w:pPr>
        <w:rPr>
          <w:rFonts w:cstheme="minorHAnsi"/>
          <w:sz w:val="24"/>
          <w:szCs w:val="24"/>
        </w:rPr>
      </w:pPr>
      <w:r w:rsidRPr="00431BA7">
        <w:rPr>
          <w:rFonts w:cstheme="minorHAnsi"/>
          <w:sz w:val="24"/>
          <w:szCs w:val="24"/>
        </w:rPr>
        <w:t>Source: -0053; -0050; -0051; -0049</w:t>
      </w:r>
    </w:p>
    <w:p w14:paraId="58BC5E3F" w14:textId="7A69469C" w:rsidR="00C76FEC" w:rsidRPr="00431BA7" w:rsidRDefault="00060C02" w:rsidP="00911AE2">
      <w:pPr>
        <w:rPr>
          <w:rFonts w:cstheme="minorHAnsi"/>
          <w:sz w:val="24"/>
          <w:szCs w:val="24"/>
        </w:rPr>
      </w:pPr>
      <w:r w:rsidRPr="00431BA7">
        <w:rPr>
          <w:rFonts w:cstheme="minorHAnsi"/>
          <w:b/>
          <w:bCs/>
          <w:sz w:val="24"/>
          <w:szCs w:val="24"/>
        </w:rPr>
        <w:t>Response</w:t>
      </w:r>
      <w:r w:rsidR="00911AE2" w:rsidRPr="00431BA7">
        <w:rPr>
          <w:rFonts w:cstheme="minorHAnsi"/>
          <w:sz w:val="24"/>
          <w:szCs w:val="24"/>
        </w:rPr>
        <w:t>:</w:t>
      </w:r>
      <w:r w:rsidR="006665AF" w:rsidRPr="00431BA7">
        <w:rPr>
          <w:rFonts w:cstheme="minorHAnsi"/>
          <w:sz w:val="24"/>
          <w:szCs w:val="24"/>
        </w:rPr>
        <w:t xml:space="preserve">  EPA disagrees with these comments.  EPA observes that while certain submission types may be amended </w:t>
      </w:r>
      <w:proofErr w:type="gramStart"/>
      <w:r w:rsidR="006665AF" w:rsidRPr="00431BA7">
        <w:rPr>
          <w:rFonts w:cstheme="minorHAnsi"/>
          <w:sz w:val="24"/>
          <w:szCs w:val="24"/>
        </w:rPr>
        <w:t>a number of</w:t>
      </w:r>
      <w:proofErr w:type="gramEnd"/>
      <w:r w:rsidR="006665AF" w:rsidRPr="00431BA7">
        <w:rPr>
          <w:rFonts w:cstheme="minorHAnsi"/>
          <w:sz w:val="24"/>
          <w:szCs w:val="24"/>
        </w:rPr>
        <w:t xml:space="preserve"> times after submission, these amendments do not usually add information with novel claims, at least not after 60 days.  New information may be added, but the CBI claims are </w:t>
      </w:r>
      <w:r w:rsidR="00C76FEC" w:rsidRPr="00431BA7">
        <w:rPr>
          <w:rFonts w:cstheme="minorHAnsi"/>
          <w:sz w:val="24"/>
          <w:szCs w:val="24"/>
        </w:rPr>
        <w:t xml:space="preserve">typically </w:t>
      </w:r>
      <w:r w:rsidR="006665AF" w:rsidRPr="00431BA7">
        <w:rPr>
          <w:rFonts w:cstheme="minorHAnsi"/>
          <w:sz w:val="24"/>
          <w:szCs w:val="24"/>
        </w:rPr>
        <w:t xml:space="preserve">for the same information (e.g., company identity, chemical identity, etc.).  In the relatively rare event that entirely new information with new claims is added to submission later than 60 days after submission, the remaining claims would still be subject to CBI review in accordance with the provisions of section 14(f) of TSCA.  </w:t>
      </w:r>
    </w:p>
    <w:p w14:paraId="12E8C111" w14:textId="48161852" w:rsidR="00911AE2" w:rsidRPr="00431BA7" w:rsidRDefault="006665AF" w:rsidP="00911AE2">
      <w:pPr>
        <w:rPr>
          <w:rFonts w:cstheme="minorHAnsi"/>
          <w:sz w:val="24"/>
          <w:szCs w:val="24"/>
        </w:rPr>
      </w:pPr>
      <w:r w:rsidRPr="00431BA7">
        <w:rPr>
          <w:rFonts w:cstheme="minorHAnsi"/>
          <w:sz w:val="24"/>
          <w:szCs w:val="24"/>
        </w:rPr>
        <w:t xml:space="preserve">Conducting and tracking CBI reviews on multiple versions of a submission also presents </w:t>
      </w:r>
      <w:proofErr w:type="gramStart"/>
      <w:r w:rsidRPr="00431BA7">
        <w:rPr>
          <w:rFonts w:cstheme="minorHAnsi"/>
          <w:sz w:val="24"/>
          <w:szCs w:val="24"/>
        </w:rPr>
        <w:t>a number of</w:t>
      </w:r>
      <w:proofErr w:type="gramEnd"/>
      <w:r w:rsidRPr="00431BA7">
        <w:rPr>
          <w:rFonts w:cstheme="minorHAnsi"/>
          <w:sz w:val="24"/>
          <w:szCs w:val="24"/>
        </w:rPr>
        <w:t xml:space="preserve"> logistical challenges and </w:t>
      </w:r>
      <w:r w:rsidR="00DE3CFD" w:rsidRPr="00431BA7">
        <w:rPr>
          <w:rFonts w:cstheme="minorHAnsi"/>
          <w:sz w:val="24"/>
          <w:szCs w:val="24"/>
        </w:rPr>
        <w:t xml:space="preserve">would </w:t>
      </w:r>
      <w:r w:rsidRPr="00431BA7">
        <w:rPr>
          <w:rFonts w:cstheme="minorHAnsi"/>
          <w:sz w:val="24"/>
          <w:szCs w:val="24"/>
        </w:rPr>
        <w:t xml:space="preserve">yield </w:t>
      </w:r>
      <w:r w:rsidR="00D06A0F" w:rsidRPr="00431BA7">
        <w:rPr>
          <w:rFonts w:cstheme="minorHAnsi"/>
          <w:sz w:val="24"/>
          <w:szCs w:val="24"/>
        </w:rPr>
        <w:t xml:space="preserve">repetitive </w:t>
      </w:r>
      <w:r w:rsidRPr="00431BA7">
        <w:rPr>
          <w:rFonts w:cstheme="minorHAnsi"/>
          <w:sz w:val="24"/>
          <w:szCs w:val="24"/>
        </w:rPr>
        <w:t xml:space="preserve">results of questionable utility, especially where EPA ends up reviewing a middle version of a submission, but not the final, “copy of record” version, or even multiple, non-final versions.  EPA instead continues to view the submission and all its versions as a single submission and must, for the purposes of meeting a statutory review time limit of 90 days, at some point </w:t>
      </w:r>
      <w:r w:rsidR="00D06A0F" w:rsidRPr="00431BA7">
        <w:rPr>
          <w:rFonts w:cstheme="minorHAnsi"/>
          <w:sz w:val="24"/>
          <w:szCs w:val="24"/>
        </w:rPr>
        <w:t>fix the scope of review for that submission and issue a determination on claims made up to that point</w:t>
      </w:r>
      <w:r w:rsidRPr="00431BA7">
        <w:rPr>
          <w:rFonts w:cstheme="minorHAnsi"/>
          <w:sz w:val="24"/>
          <w:szCs w:val="24"/>
        </w:rPr>
        <w:t>.</w:t>
      </w:r>
      <w:r w:rsidR="00D06A0F" w:rsidRPr="00431BA7">
        <w:rPr>
          <w:rFonts w:cstheme="minorHAnsi"/>
          <w:sz w:val="24"/>
          <w:szCs w:val="24"/>
        </w:rPr>
        <w:t xml:space="preserve">  Contrary to the concern expressed by one commenter, new claims may be added after 60 days, but EPA expects that much of the time, these </w:t>
      </w:r>
      <w:r w:rsidR="00DC01B3" w:rsidRPr="00431BA7">
        <w:rPr>
          <w:rFonts w:cstheme="minorHAnsi"/>
          <w:sz w:val="24"/>
          <w:szCs w:val="24"/>
        </w:rPr>
        <w:t xml:space="preserve">will not be entirely new claims, rather they will be new iterations of </w:t>
      </w:r>
      <w:r w:rsidR="00D06A0F" w:rsidRPr="00431BA7">
        <w:rPr>
          <w:rFonts w:cstheme="minorHAnsi"/>
          <w:sz w:val="24"/>
          <w:szCs w:val="24"/>
        </w:rPr>
        <w:t>the same information as claimed in earlier versions of the submission.</w:t>
      </w:r>
      <w:r w:rsidR="00DC01B3" w:rsidRPr="00431BA7">
        <w:rPr>
          <w:rFonts w:cstheme="minorHAnsi"/>
          <w:sz w:val="24"/>
          <w:szCs w:val="24"/>
        </w:rPr>
        <w:t xml:space="preserve"> Therefore, the Agency is </w:t>
      </w:r>
      <w:r w:rsidR="00DC01B3" w:rsidRPr="00431BA7">
        <w:rPr>
          <w:rFonts w:cstheme="minorHAnsi"/>
          <w:sz w:val="24"/>
          <w:szCs w:val="24"/>
        </w:rPr>
        <w:lastRenderedPageBreak/>
        <w:t xml:space="preserve">generally not reviewing any new claims in later iterations that would require additional or altered substantiation than the initial claim for the same data element. Essentially, it is the data element and its substantiation that is reviewed for confidential treatment, </w:t>
      </w:r>
      <w:r w:rsidR="00F8486E" w:rsidRPr="00431BA7">
        <w:rPr>
          <w:rFonts w:cstheme="minorHAnsi"/>
          <w:sz w:val="24"/>
          <w:szCs w:val="24"/>
        </w:rPr>
        <w:t xml:space="preserve">the fact that the underlying number or formula changed is usually not relevant to </w:t>
      </w:r>
      <w:r w:rsidR="006E2903" w:rsidRPr="00431BA7">
        <w:rPr>
          <w:rFonts w:cstheme="minorHAnsi"/>
          <w:sz w:val="24"/>
          <w:szCs w:val="24"/>
        </w:rPr>
        <w:t>that review</w:t>
      </w:r>
      <w:r w:rsidR="00F8486E" w:rsidRPr="00431BA7">
        <w:rPr>
          <w:rFonts w:cstheme="minorHAnsi"/>
          <w:sz w:val="24"/>
          <w:szCs w:val="24"/>
        </w:rPr>
        <w:t>.</w:t>
      </w:r>
      <w:r w:rsidR="00DC01B3" w:rsidRPr="00431BA7">
        <w:rPr>
          <w:rFonts w:cstheme="minorHAnsi"/>
          <w:sz w:val="24"/>
          <w:szCs w:val="24"/>
        </w:rPr>
        <w:t xml:space="preserve"> </w:t>
      </w:r>
    </w:p>
    <w:p w14:paraId="74DF08AD" w14:textId="11864B38" w:rsidR="00217052" w:rsidRPr="00431BA7" w:rsidRDefault="00217052" w:rsidP="004F0AEF">
      <w:pPr>
        <w:pStyle w:val="Heading2"/>
        <w:numPr>
          <w:ilvl w:val="0"/>
          <w:numId w:val="0"/>
        </w:numPr>
        <w:ind w:left="360" w:hanging="360"/>
      </w:pPr>
      <w:bookmarkStart w:id="27" w:name="_Toc132901196"/>
      <w:r w:rsidRPr="00431BA7">
        <w:t>Unit 1</w:t>
      </w:r>
      <w:r w:rsidR="00E401BF" w:rsidRPr="00431BA7">
        <w:t>8</w:t>
      </w:r>
      <w:r w:rsidRPr="00431BA7">
        <w:t>: Publication of final determinations (</w:t>
      </w:r>
      <w:r w:rsidR="00B6654E" w:rsidRPr="00431BA7">
        <w:t xml:space="preserve">40 CFR </w:t>
      </w:r>
      <w:r w:rsidRPr="00431BA7">
        <w:t>703.7(d))</w:t>
      </w:r>
      <w:bookmarkEnd w:id="27"/>
    </w:p>
    <w:p w14:paraId="48045C61" w14:textId="758FF667" w:rsidR="00911AE2" w:rsidRPr="00431BA7" w:rsidRDefault="00911AE2" w:rsidP="00911AE2">
      <w:pPr>
        <w:rPr>
          <w:rFonts w:cstheme="minorHAnsi"/>
          <w:sz w:val="24"/>
          <w:szCs w:val="24"/>
        </w:rPr>
      </w:pPr>
      <w:r w:rsidRPr="00431BA7">
        <w:rPr>
          <w:rFonts w:cstheme="minorHAnsi"/>
          <w:b/>
          <w:bCs/>
          <w:sz w:val="24"/>
          <w:szCs w:val="24"/>
        </w:rPr>
        <w:t>Comment</w:t>
      </w:r>
      <w:r w:rsidRPr="00431BA7">
        <w:rPr>
          <w:rFonts w:cstheme="minorHAnsi"/>
          <w:sz w:val="24"/>
          <w:szCs w:val="24"/>
        </w:rPr>
        <w:t>:</w:t>
      </w:r>
      <w:r w:rsidR="00C76FEC" w:rsidRPr="00431BA7">
        <w:rPr>
          <w:rFonts w:cstheme="minorHAnsi"/>
          <w:sz w:val="24"/>
          <w:szCs w:val="24"/>
        </w:rPr>
        <w:t xml:space="preserve"> One commenter raised a concern with the CBI determinations that EPA publishes in tabular form approximately quarterly, per section 26(j) of TSCA, asserting that the tables are inadequate.</w:t>
      </w:r>
    </w:p>
    <w:p w14:paraId="2EECC77A" w14:textId="0C23E3F3" w:rsidR="00837FD5" w:rsidRPr="00431BA7" w:rsidRDefault="00837FD5" w:rsidP="00911AE2">
      <w:pPr>
        <w:rPr>
          <w:rFonts w:cstheme="minorHAnsi"/>
          <w:sz w:val="24"/>
          <w:szCs w:val="24"/>
        </w:rPr>
      </w:pPr>
      <w:r w:rsidRPr="00431BA7">
        <w:rPr>
          <w:rFonts w:cstheme="minorHAnsi"/>
          <w:sz w:val="24"/>
          <w:szCs w:val="24"/>
        </w:rPr>
        <w:t>Source: -0050</w:t>
      </w:r>
    </w:p>
    <w:p w14:paraId="6A58C8C8" w14:textId="1328A719" w:rsidR="00911AE2" w:rsidRPr="00431BA7" w:rsidRDefault="00060C02" w:rsidP="00911AE2">
      <w:pPr>
        <w:rPr>
          <w:rFonts w:cstheme="minorHAnsi"/>
          <w:sz w:val="24"/>
          <w:szCs w:val="24"/>
        </w:rPr>
      </w:pPr>
      <w:r w:rsidRPr="00431BA7">
        <w:rPr>
          <w:rFonts w:cstheme="minorHAnsi"/>
          <w:b/>
          <w:bCs/>
          <w:sz w:val="24"/>
          <w:szCs w:val="24"/>
        </w:rPr>
        <w:t>Response</w:t>
      </w:r>
      <w:r w:rsidR="00911AE2" w:rsidRPr="00431BA7">
        <w:rPr>
          <w:rFonts w:cstheme="minorHAnsi"/>
          <w:sz w:val="24"/>
          <w:szCs w:val="24"/>
        </w:rPr>
        <w:t>:</w:t>
      </w:r>
      <w:r w:rsidR="00C76FEC" w:rsidRPr="00431BA7">
        <w:rPr>
          <w:rFonts w:cstheme="minorHAnsi"/>
          <w:sz w:val="24"/>
          <w:szCs w:val="24"/>
        </w:rPr>
        <w:t xml:space="preserve"> While EPA disagrees with this comment in substance, further implementation of section 26(j) of TSCA is outside of the scope of </w:t>
      </w:r>
      <w:r w:rsidR="00DE3CFD" w:rsidRPr="00431BA7">
        <w:rPr>
          <w:rFonts w:cstheme="minorHAnsi"/>
          <w:sz w:val="24"/>
          <w:szCs w:val="24"/>
        </w:rPr>
        <w:t>this</w:t>
      </w:r>
      <w:r w:rsidR="00C76FEC" w:rsidRPr="00431BA7">
        <w:rPr>
          <w:rFonts w:cstheme="minorHAnsi"/>
          <w:sz w:val="24"/>
          <w:szCs w:val="24"/>
        </w:rPr>
        <w:t xml:space="preserve"> rule.</w:t>
      </w:r>
    </w:p>
    <w:p w14:paraId="12DABE47" w14:textId="3A68E6EA" w:rsidR="00D10025" w:rsidRPr="00431BA7" w:rsidRDefault="00217052" w:rsidP="004F0AEF">
      <w:pPr>
        <w:pStyle w:val="Heading2"/>
        <w:numPr>
          <w:ilvl w:val="0"/>
          <w:numId w:val="0"/>
        </w:numPr>
        <w:ind w:left="360" w:hanging="360"/>
      </w:pPr>
      <w:bookmarkStart w:id="28" w:name="_Toc132901197"/>
      <w:r w:rsidRPr="00431BA7">
        <w:t xml:space="preserve">Unit </w:t>
      </w:r>
      <w:r w:rsidR="00E47D5E" w:rsidRPr="00431BA7">
        <w:t>1</w:t>
      </w:r>
      <w:r w:rsidR="00E401BF" w:rsidRPr="00431BA7">
        <w:t>9</w:t>
      </w:r>
      <w:r w:rsidRPr="00431BA7">
        <w:t xml:space="preserve">: </w:t>
      </w:r>
      <w:r w:rsidR="00D10025" w:rsidRPr="00431BA7">
        <w:t>Substantive criteria</w:t>
      </w:r>
      <w:r w:rsidRPr="00431BA7">
        <w:t xml:space="preserve"> (</w:t>
      </w:r>
      <w:r w:rsidR="00B6654E" w:rsidRPr="00431BA7">
        <w:t xml:space="preserve">40 CFR </w:t>
      </w:r>
      <w:r w:rsidRPr="00431BA7">
        <w:t>703.7(f))</w:t>
      </w:r>
      <w:bookmarkEnd w:id="28"/>
    </w:p>
    <w:p w14:paraId="7C521442" w14:textId="4755F150" w:rsidR="00911AE2" w:rsidRPr="00431BA7" w:rsidRDefault="00911AE2" w:rsidP="00911AE2">
      <w:pPr>
        <w:rPr>
          <w:rFonts w:cstheme="minorHAnsi"/>
          <w:sz w:val="24"/>
          <w:szCs w:val="24"/>
        </w:rPr>
      </w:pPr>
      <w:r w:rsidRPr="00431BA7">
        <w:rPr>
          <w:rFonts w:cstheme="minorHAnsi"/>
          <w:b/>
          <w:bCs/>
          <w:sz w:val="24"/>
          <w:szCs w:val="24"/>
        </w:rPr>
        <w:t>Comment:</w:t>
      </w:r>
      <w:r w:rsidR="00E5196F" w:rsidRPr="00431BA7">
        <w:rPr>
          <w:rFonts w:cstheme="minorHAnsi"/>
          <w:sz w:val="24"/>
          <w:szCs w:val="24"/>
        </w:rPr>
        <w:t xml:space="preserve">  One commenter suggested that a FOIA-specific substantive CBI review criterion should be applied to all TSCA CBI reviews, not just those prompted by a FOIA request.</w:t>
      </w:r>
    </w:p>
    <w:p w14:paraId="47176241" w14:textId="5258D75A" w:rsidR="00837FD5" w:rsidRPr="00431BA7" w:rsidRDefault="00837FD5" w:rsidP="00911AE2">
      <w:pPr>
        <w:rPr>
          <w:rFonts w:cstheme="minorHAnsi"/>
          <w:sz w:val="24"/>
          <w:szCs w:val="24"/>
        </w:rPr>
      </w:pPr>
      <w:r w:rsidRPr="00431BA7">
        <w:rPr>
          <w:rFonts w:cstheme="minorHAnsi"/>
          <w:sz w:val="24"/>
          <w:szCs w:val="24"/>
        </w:rPr>
        <w:t>Source: -0050</w:t>
      </w:r>
    </w:p>
    <w:p w14:paraId="35F2487A" w14:textId="542FD535" w:rsidR="000140FB" w:rsidRPr="00431BA7" w:rsidRDefault="00060C02" w:rsidP="000140FB">
      <w:pPr>
        <w:rPr>
          <w:rFonts w:cstheme="minorHAnsi"/>
          <w:sz w:val="24"/>
          <w:szCs w:val="24"/>
        </w:rPr>
      </w:pPr>
      <w:r w:rsidRPr="00431BA7">
        <w:rPr>
          <w:rFonts w:cstheme="minorHAnsi"/>
          <w:b/>
          <w:bCs/>
          <w:sz w:val="24"/>
          <w:szCs w:val="24"/>
        </w:rPr>
        <w:t>Response</w:t>
      </w:r>
      <w:r w:rsidR="0039478C" w:rsidRPr="00431BA7">
        <w:rPr>
          <w:rFonts w:cstheme="minorHAnsi"/>
          <w:b/>
          <w:bCs/>
          <w:sz w:val="24"/>
          <w:szCs w:val="24"/>
        </w:rPr>
        <w:t xml:space="preserve">: </w:t>
      </w:r>
      <w:r w:rsidR="000326A6" w:rsidRPr="00431BA7">
        <w:rPr>
          <w:rFonts w:cstheme="minorHAnsi"/>
          <w:b/>
          <w:bCs/>
          <w:sz w:val="24"/>
          <w:szCs w:val="24"/>
        </w:rPr>
        <w:t xml:space="preserve"> </w:t>
      </w:r>
      <w:r w:rsidR="00893882" w:rsidRPr="00431BA7">
        <w:rPr>
          <w:rFonts w:cstheme="minorHAnsi"/>
          <w:sz w:val="24"/>
          <w:szCs w:val="24"/>
        </w:rPr>
        <w:t xml:space="preserve">Though noting that meeting the other substantive criteria virtually assures that a claim will qualify as confidential under FOIA exemption 4, </w:t>
      </w:r>
      <w:r w:rsidR="003E428A" w:rsidRPr="00431BA7">
        <w:rPr>
          <w:rFonts w:cstheme="minorHAnsi"/>
          <w:sz w:val="24"/>
          <w:szCs w:val="24"/>
        </w:rPr>
        <w:t xml:space="preserve">EPA agrees </w:t>
      </w:r>
      <w:r w:rsidR="00893882" w:rsidRPr="00431BA7">
        <w:rPr>
          <w:rFonts w:cstheme="minorHAnsi"/>
          <w:sz w:val="24"/>
          <w:szCs w:val="24"/>
        </w:rPr>
        <w:t>that the substantive criteria should be uniform for all TSCA CBI reviews</w:t>
      </w:r>
      <w:r w:rsidR="003E428A" w:rsidRPr="00431BA7">
        <w:rPr>
          <w:rFonts w:cstheme="minorHAnsi"/>
          <w:sz w:val="24"/>
          <w:szCs w:val="24"/>
        </w:rPr>
        <w:t xml:space="preserve"> and has revised the final rule </w:t>
      </w:r>
      <w:r w:rsidR="00893882" w:rsidRPr="00431BA7">
        <w:rPr>
          <w:rFonts w:cstheme="minorHAnsi"/>
          <w:sz w:val="24"/>
          <w:szCs w:val="24"/>
        </w:rPr>
        <w:t>accordingly</w:t>
      </w:r>
      <w:r w:rsidR="003E428A" w:rsidRPr="00431BA7">
        <w:rPr>
          <w:rFonts w:cstheme="minorHAnsi"/>
          <w:sz w:val="24"/>
          <w:szCs w:val="24"/>
        </w:rPr>
        <w:t>.</w:t>
      </w:r>
      <w:r w:rsidR="000140FB" w:rsidRPr="00431BA7">
        <w:rPr>
          <w:rFonts w:cstheme="minorHAnsi"/>
          <w:sz w:val="24"/>
          <w:szCs w:val="24"/>
        </w:rPr>
        <w:t xml:space="preserve"> </w:t>
      </w:r>
    </w:p>
    <w:p w14:paraId="0B80E5B7" w14:textId="4F5AD017" w:rsidR="00E5196F" w:rsidRPr="00431BA7" w:rsidRDefault="00E5196F">
      <w:pPr>
        <w:rPr>
          <w:rFonts w:cstheme="minorHAnsi"/>
          <w:sz w:val="24"/>
          <w:szCs w:val="24"/>
        </w:rPr>
      </w:pPr>
      <w:r w:rsidRPr="00431BA7">
        <w:rPr>
          <w:rFonts w:cstheme="minorHAnsi"/>
          <w:b/>
          <w:bCs/>
          <w:sz w:val="24"/>
          <w:szCs w:val="24"/>
        </w:rPr>
        <w:t xml:space="preserve">Comment:  </w:t>
      </w:r>
      <w:r w:rsidRPr="00431BA7">
        <w:rPr>
          <w:rFonts w:cstheme="minorHAnsi"/>
          <w:sz w:val="24"/>
          <w:szCs w:val="24"/>
        </w:rPr>
        <w:t>EPA received several comments on the proposed substantive criteria for reviewing CBI claims.  In some cases, commenters had criticisms of certain language in the substantive criteria</w:t>
      </w:r>
      <w:r w:rsidR="00BC07AE" w:rsidRPr="00431BA7">
        <w:rPr>
          <w:rFonts w:cstheme="minorHAnsi"/>
          <w:sz w:val="24"/>
          <w:szCs w:val="24"/>
        </w:rPr>
        <w:t xml:space="preserve"> or</w:t>
      </w:r>
      <w:r w:rsidRPr="00431BA7">
        <w:rPr>
          <w:rFonts w:cstheme="minorHAnsi"/>
          <w:sz w:val="24"/>
          <w:szCs w:val="24"/>
        </w:rPr>
        <w:t xml:space="preserve"> how the criteria were arranged (e.g., </w:t>
      </w:r>
      <w:r w:rsidR="00341D51" w:rsidRPr="00431BA7">
        <w:rPr>
          <w:rFonts w:cstheme="minorHAnsi"/>
          <w:sz w:val="24"/>
          <w:szCs w:val="24"/>
        </w:rPr>
        <w:t>the</w:t>
      </w:r>
      <w:r w:rsidRPr="00431BA7">
        <w:rPr>
          <w:rFonts w:cstheme="minorHAnsi"/>
          <w:sz w:val="24"/>
          <w:szCs w:val="24"/>
        </w:rPr>
        <w:t xml:space="preserve"> criteria </w:t>
      </w:r>
      <w:r w:rsidR="00341D51" w:rsidRPr="00431BA7">
        <w:rPr>
          <w:rFonts w:cstheme="minorHAnsi"/>
          <w:sz w:val="24"/>
          <w:szCs w:val="24"/>
        </w:rPr>
        <w:t xml:space="preserve">covering reverse engineering and the limited protections for health and safety data </w:t>
      </w:r>
      <w:r w:rsidRPr="00431BA7">
        <w:rPr>
          <w:rFonts w:cstheme="minorHAnsi"/>
          <w:sz w:val="24"/>
          <w:szCs w:val="24"/>
        </w:rPr>
        <w:t xml:space="preserve">should be broken up into </w:t>
      </w:r>
      <w:r w:rsidR="00341D51" w:rsidRPr="00431BA7">
        <w:rPr>
          <w:rFonts w:cstheme="minorHAnsi"/>
          <w:sz w:val="24"/>
          <w:szCs w:val="24"/>
        </w:rPr>
        <w:t xml:space="preserve">a further two </w:t>
      </w:r>
      <w:r w:rsidRPr="00431BA7">
        <w:rPr>
          <w:rFonts w:cstheme="minorHAnsi"/>
          <w:sz w:val="24"/>
          <w:szCs w:val="24"/>
        </w:rPr>
        <w:t>separate criteria</w:t>
      </w:r>
      <w:r w:rsidR="001D6B3D" w:rsidRPr="00431BA7">
        <w:rPr>
          <w:rFonts w:cstheme="minorHAnsi"/>
          <w:sz w:val="24"/>
          <w:szCs w:val="24"/>
        </w:rPr>
        <w:t>; more of the criteria should be “framed as demonstrations the claimant must make</w:t>
      </w:r>
      <w:r w:rsidR="00341D51" w:rsidRPr="00431BA7">
        <w:rPr>
          <w:rFonts w:cstheme="minorHAnsi"/>
          <w:sz w:val="24"/>
          <w:szCs w:val="24"/>
        </w:rPr>
        <w:t>”)</w:t>
      </w:r>
      <w:r w:rsidRPr="00431BA7">
        <w:rPr>
          <w:rFonts w:cstheme="minorHAnsi"/>
          <w:sz w:val="24"/>
          <w:szCs w:val="24"/>
        </w:rPr>
        <w:t>.  One commenter</w:t>
      </w:r>
      <w:r w:rsidR="008426CF" w:rsidRPr="00431BA7">
        <w:rPr>
          <w:rFonts w:cstheme="minorHAnsi"/>
          <w:sz w:val="24"/>
          <w:szCs w:val="24"/>
        </w:rPr>
        <w:t xml:space="preserve">, noting the language in one criterion concerning the limited CBI protections for health and safety data, </w:t>
      </w:r>
      <w:r w:rsidRPr="00431BA7">
        <w:rPr>
          <w:rFonts w:cstheme="minorHAnsi"/>
          <w:sz w:val="24"/>
          <w:szCs w:val="24"/>
        </w:rPr>
        <w:t xml:space="preserve">suggested that generic names should be </w:t>
      </w:r>
      <w:r w:rsidR="008426CF" w:rsidRPr="00431BA7">
        <w:rPr>
          <w:rFonts w:cstheme="minorHAnsi"/>
          <w:sz w:val="24"/>
          <w:szCs w:val="24"/>
        </w:rPr>
        <w:t>permitted to substitute for specific name in public copies of submissions (contrary to EPA’s long-held position that specific chemical identity is always part of a health and safety studies), “</w:t>
      </w:r>
      <w:r w:rsidR="0093353A" w:rsidRPr="00431BA7">
        <w:rPr>
          <w:rFonts w:cstheme="minorHAnsi"/>
          <w:sz w:val="24"/>
          <w:szCs w:val="24"/>
        </w:rPr>
        <w:t xml:space="preserve">. . . </w:t>
      </w:r>
      <w:r w:rsidR="008426CF" w:rsidRPr="00431BA7">
        <w:rPr>
          <w:rFonts w:cstheme="minorHAnsi"/>
          <w:sz w:val="24"/>
          <w:szCs w:val="24"/>
        </w:rPr>
        <w:t>EPA should revise the proposed rule to allow submitters to provide structurally descriptive generic names as a substitute for disclosure of confidential chemical identities in a health and safety study submitted under TSCA, and thereby establish that the specific chemical identity is not necessary for the interpretation of the study.”</w:t>
      </w:r>
    </w:p>
    <w:p w14:paraId="69EDD706" w14:textId="734F540B" w:rsidR="00837FD5" w:rsidRPr="00431BA7" w:rsidRDefault="00837FD5">
      <w:pPr>
        <w:rPr>
          <w:rFonts w:cstheme="minorHAnsi"/>
          <w:sz w:val="24"/>
          <w:szCs w:val="24"/>
        </w:rPr>
      </w:pPr>
      <w:r w:rsidRPr="00431BA7">
        <w:rPr>
          <w:rFonts w:cstheme="minorHAnsi"/>
          <w:sz w:val="24"/>
          <w:szCs w:val="24"/>
        </w:rPr>
        <w:t>Source: -0050; -0046; -0044</w:t>
      </w:r>
    </w:p>
    <w:p w14:paraId="5EEA3D26" w14:textId="1BA66D71" w:rsidR="00F81CAF" w:rsidRPr="00431BA7" w:rsidRDefault="00060C02">
      <w:pPr>
        <w:rPr>
          <w:rFonts w:cstheme="minorHAnsi"/>
          <w:sz w:val="24"/>
          <w:szCs w:val="24"/>
        </w:rPr>
      </w:pPr>
      <w:r w:rsidRPr="00431BA7">
        <w:rPr>
          <w:rFonts w:cstheme="minorHAnsi"/>
          <w:b/>
          <w:bCs/>
          <w:sz w:val="24"/>
          <w:szCs w:val="24"/>
        </w:rPr>
        <w:t>Response</w:t>
      </w:r>
      <w:r w:rsidR="0039478C" w:rsidRPr="00431BA7">
        <w:rPr>
          <w:rFonts w:cstheme="minorHAnsi"/>
          <w:b/>
          <w:bCs/>
          <w:sz w:val="24"/>
          <w:szCs w:val="24"/>
        </w:rPr>
        <w:t>:</w:t>
      </w:r>
      <w:r w:rsidR="0039478C" w:rsidRPr="00431BA7">
        <w:rPr>
          <w:rFonts w:cstheme="minorHAnsi"/>
          <w:b/>
          <w:bCs/>
          <w:i/>
          <w:iCs/>
          <w:sz w:val="24"/>
          <w:szCs w:val="24"/>
        </w:rPr>
        <w:t xml:space="preserve"> </w:t>
      </w:r>
      <w:r w:rsidR="000326A6" w:rsidRPr="00431BA7">
        <w:rPr>
          <w:rFonts w:cstheme="minorHAnsi"/>
          <w:b/>
          <w:bCs/>
          <w:sz w:val="24"/>
          <w:szCs w:val="24"/>
        </w:rPr>
        <w:t xml:space="preserve"> </w:t>
      </w:r>
      <w:bookmarkStart w:id="29" w:name="_Hlk121416397"/>
      <w:r w:rsidR="00341D51" w:rsidRPr="00431BA7">
        <w:rPr>
          <w:rFonts w:cstheme="minorHAnsi"/>
          <w:sz w:val="24"/>
          <w:szCs w:val="24"/>
        </w:rPr>
        <w:t xml:space="preserve">The substantive criteria in the final rule are </w:t>
      </w:r>
      <w:r w:rsidR="00002632" w:rsidRPr="00431BA7">
        <w:rPr>
          <w:rFonts w:cstheme="minorHAnsi"/>
          <w:sz w:val="24"/>
          <w:szCs w:val="24"/>
        </w:rPr>
        <w:t xml:space="preserve">largely </w:t>
      </w:r>
      <w:r w:rsidR="00341D51" w:rsidRPr="00431BA7">
        <w:rPr>
          <w:rFonts w:cstheme="minorHAnsi"/>
          <w:sz w:val="24"/>
          <w:szCs w:val="24"/>
        </w:rPr>
        <w:t>unchanged from those proposed.</w:t>
      </w:r>
      <w:r w:rsidR="00341D51" w:rsidRPr="00431BA7">
        <w:rPr>
          <w:rFonts w:cstheme="minorHAnsi"/>
          <w:b/>
          <w:bCs/>
          <w:sz w:val="24"/>
          <w:szCs w:val="24"/>
        </w:rPr>
        <w:t xml:space="preserve">  </w:t>
      </w:r>
      <w:r w:rsidR="00341D51" w:rsidRPr="00431BA7">
        <w:rPr>
          <w:rFonts w:cstheme="minorHAnsi"/>
          <w:sz w:val="24"/>
          <w:szCs w:val="24"/>
        </w:rPr>
        <w:t xml:space="preserve">While some commenters would prefer a longer list of criteria or somewhat different wording to </w:t>
      </w:r>
      <w:proofErr w:type="gramStart"/>
      <w:r w:rsidR="00341D51" w:rsidRPr="00431BA7">
        <w:rPr>
          <w:rFonts w:cstheme="minorHAnsi"/>
          <w:sz w:val="24"/>
          <w:szCs w:val="24"/>
        </w:rPr>
        <w:lastRenderedPageBreak/>
        <w:t>more strongly emphasize some parts of some criteria</w:t>
      </w:r>
      <w:proofErr w:type="gramEnd"/>
      <w:r w:rsidR="00341D51" w:rsidRPr="00431BA7">
        <w:rPr>
          <w:rFonts w:cstheme="minorHAnsi"/>
          <w:sz w:val="24"/>
          <w:szCs w:val="24"/>
        </w:rPr>
        <w:t xml:space="preserve"> over others, EPA does not believe that revisions like these would have any meaningful difference on the outcome</w:t>
      </w:r>
      <w:r w:rsidR="00DC01B3" w:rsidRPr="00431BA7">
        <w:rPr>
          <w:rFonts w:cstheme="minorHAnsi"/>
          <w:sz w:val="24"/>
          <w:szCs w:val="24"/>
        </w:rPr>
        <w:t xml:space="preserve"> or veracity</w:t>
      </w:r>
      <w:r w:rsidR="00341D51" w:rsidRPr="00431BA7">
        <w:rPr>
          <w:rFonts w:cstheme="minorHAnsi"/>
          <w:sz w:val="24"/>
          <w:szCs w:val="24"/>
        </w:rPr>
        <w:t xml:space="preserve"> of CBI reviews.  TSCA itself does not specify the criteria that must be used in making a confidentiality determination, so EPA proposed and will retain in this final rule elements drawn from TSCA section</w:t>
      </w:r>
      <w:r w:rsidR="00F3192B" w:rsidRPr="00431BA7">
        <w:rPr>
          <w:rFonts w:cstheme="minorHAnsi"/>
          <w:sz w:val="24"/>
          <w:szCs w:val="24"/>
        </w:rPr>
        <w:t xml:space="preserve"> 14(b) limitations of confidentiality protections,</w:t>
      </w:r>
      <w:r w:rsidR="00341D51" w:rsidRPr="00431BA7">
        <w:rPr>
          <w:rFonts w:cstheme="minorHAnsi"/>
          <w:sz w:val="24"/>
          <w:szCs w:val="24"/>
        </w:rPr>
        <w:t xml:space="preserve"> </w:t>
      </w:r>
      <w:r w:rsidR="00F81CAF" w:rsidRPr="00431BA7">
        <w:rPr>
          <w:rFonts w:cstheme="minorHAnsi"/>
          <w:sz w:val="24"/>
          <w:szCs w:val="24"/>
        </w:rPr>
        <w:t xml:space="preserve">section </w:t>
      </w:r>
      <w:r w:rsidR="00341D51" w:rsidRPr="00431BA7">
        <w:rPr>
          <w:rFonts w:cstheme="minorHAnsi"/>
          <w:sz w:val="24"/>
          <w:szCs w:val="24"/>
        </w:rPr>
        <w:t>14(c) requirements to assert confidentiality claims</w:t>
      </w:r>
      <w:r w:rsidR="00F3192B" w:rsidRPr="00431BA7">
        <w:rPr>
          <w:rFonts w:cstheme="minorHAnsi"/>
          <w:sz w:val="24"/>
          <w:szCs w:val="24"/>
        </w:rPr>
        <w:t>, as well as EPA’s long pre-existing criteria for evaluation of confidentiality claims as set out in 40 CFR part 2</w:t>
      </w:r>
      <w:r w:rsidR="00F81CAF" w:rsidRPr="00431BA7">
        <w:rPr>
          <w:rFonts w:cstheme="minorHAnsi"/>
          <w:sz w:val="24"/>
          <w:szCs w:val="24"/>
        </w:rPr>
        <w:t>.208</w:t>
      </w:r>
      <w:r w:rsidR="00F3192B" w:rsidRPr="00431BA7">
        <w:rPr>
          <w:rFonts w:cstheme="minorHAnsi"/>
          <w:sz w:val="24"/>
          <w:szCs w:val="24"/>
        </w:rPr>
        <w:t>.</w:t>
      </w:r>
      <w:r w:rsidR="00341D51" w:rsidRPr="00431BA7">
        <w:rPr>
          <w:rFonts w:cstheme="minorHAnsi"/>
          <w:sz w:val="24"/>
          <w:szCs w:val="24"/>
        </w:rPr>
        <w:t xml:space="preserve"> </w:t>
      </w:r>
      <w:r w:rsidR="00F3192B" w:rsidRPr="00431BA7">
        <w:rPr>
          <w:rFonts w:cstheme="minorHAnsi"/>
          <w:sz w:val="24"/>
          <w:szCs w:val="24"/>
        </w:rPr>
        <w:t xml:space="preserve"> </w:t>
      </w:r>
    </w:p>
    <w:p w14:paraId="1B35F4EE" w14:textId="1150BD4A" w:rsidR="000326A6" w:rsidRPr="00431BA7" w:rsidRDefault="00F3192B" w:rsidP="004F0AEF">
      <w:pPr>
        <w:rPr>
          <w:rFonts w:cstheme="minorHAnsi"/>
          <w:b/>
          <w:bCs/>
          <w:sz w:val="24"/>
          <w:szCs w:val="24"/>
        </w:rPr>
      </w:pPr>
      <w:r w:rsidRPr="00431BA7">
        <w:rPr>
          <w:rFonts w:cstheme="minorHAnsi"/>
          <w:sz w:val="24"/>
          <w:szCs w:val="24"/>
        </w:rPr>
        <w:t xml:space="preserve">EPA is also declining the suggestion of another commenter that </w:t>
      </w:r>
      <w:r w:rsidR="00F81CAF" w:rsidRPr="00431BA7">
        <w:rPr>
          <w:rFonts w:cstheme="minorHAnsi"/>
          <w:sz w:val="24"/>
          <w:szCs w:val="24"/>
        </w:rPr>
        <w:t xml:space="preserve">the criterion mentioning the limited confidentiality protections for health and safety study data (40 CFR 703.7(f)(5)) should be expanded to permit generic name to stand in for specific identity in any health and safety study for which the submitter wishes to assert a CBI claim.  </w:t>
      </w:r>
      <w:r w:rsidR="00721079" w:rsidRPr="00431BA7">
        <w:rPr>
          <w:rFonts w:cstheme="minorHAnsi"/>
          <w:sz w:val="24"/>
          <w:szCs w:val="24"/>
        </w:rPr>
        <w:t>This would be contrary to longstanding EPA policy and rules stating that chemical identity is always considered part of a study (e.g., 40 CFR 720.3(k)), and does not reflect the fact that chemical identity may be protected</w:t>
      </w:r>
      <w:r w:rsidR="0093353A" w:rsidRPr="00431BA7">
        <w:rPr>
          <w:rFonts w:cstheme="minorHAnsi"/>
          <w:sz w:val="24"/>
          <w:szCs w:val="24"/>
        </w:rPr>
        <w:t xml:space="preserve"> as CBI, need not be substantiated, and will not be routinely reviewed (under section 14(g) of TSCA) until the chemical substance is introduced into US commerce.  </w:t>
      </w:r>
      <w:r w:rsidR="00721079" w:rsidRPr="00431BA7">
        <w:rPr>
          <w:rFonts w:cstheme="minorHAnsi"/>
          <w:sz w:val="24"/>
          <w:szCs w:val="24"/>
        </w:rPr>
        <w:t>However, the criterion has been clarified in the final rule to reflect that the limitations on confidentiality protections don’t apply to all health and safety information that might be submitted under TSCA (e.g., data on R&amp;D substances, prior to premanufacture notification).</w:t>
      </w:r>
      <w:r w:rsidR="00F81CAF" w:rsidRPr="00431BA7">
        <w:rPr>
          <w:rFonts w:cstheme="minorHAnsi"/>
          <w:sz w:val="24"/>
          <w:szCs w:val="24"/>
        </w:rPr>
        <w:t xml:space="preserve"> </w:t>
      </w:r>
    </w:p>
    <w:p w14:paraId="65029621" w14:textId="4F33FEC8" w:rsidR="00425F0B" w:rsidRPr="00431BA7" w:rsidRDefault="00217052" w:rsidP="004F0AEF">
      <w:pPr>
        <w:pStyle w:val="Heading2"/>
        <w:numPr>
          <w:ilvl w:val="0"/>
          <w:numId w:val="0"/>
        </w:numPr>
        <w:ind w:left="360" w:hanging="360"/>
      </w:pPr>
      <w:bookmarkStart w:id="30" w:name="_Toc132901198"/>
      <w:bookmarkEnd w:id="29"/>
      <w:r w:rsidRPr="00431BA7">
        <w:t xml:space="preserve">Unit </w:t>
      </w:r>
      <w:r w:rsidR="00E401BF" w:rsidRPr="00431BA7">
        <w:t>20</w:t>
      </w:r>
      <w:r w:rsidRPr="00431BA7">
        <w:t>: Reconsideration Requests (</w:t>
      </w:r>
      <w:r w:rsidR="00B6654E" w:rsidRPr="00431BA7">
        <w:t xml:space="preserve">40 CFR </w:t>
      </w:r>
      <w:r w:rsidRPr="00431BA7">
        <w:t>703.7(g)</w:t>
      </w:r>
      <w:r w:rsidR="00D74EC1" w:rsidRPr="00431BA7">
        <w:t xml:space="preserve"> as proposed</w:t>
      </w:r>
      <w:r w:rsidRPr="00431BA7">
        <w:t>)</w:t>
      </w:r>
      <w:bookmarkEnd w:id="30"/>
      <w:r w:rsidRPr="00431BA7" w:rsidDel="00217052">
        <w:t xml:space="preserve"> </w:t>
      </w:r>
    </w:p>
    <w:p w14:paraId="6B026241" w14:textId="4BE3260E" w:rsidR="008426CF" w:rsidRPr="00431BA7" w:rsidRDefault="008426CF" w:rsidP="00204FD8">
      <w:pPr>
        <w:rPr>
          <w:rFonts w:cstheme="minorHAnsi"/>
          <w:sz w:val="24"/>
          <w:szCs w:val="24"/>
        </w:rPr>
      </w:pPr>
      <w:bookmarkStart w:id="31" w:name="_Hlk121481304"/>
      <w:r w:rsidRPr="00431BA7">
        <w:rPr>
          <w:rFonts w:cstheme="minorHAnsi"/>
          <w:b/>
          <w:bCs/>
          <w:sz w:val="24"/>
          <w:szCs w:val="24"/>
        </w:rPr>
        <w:t>Comment</w:t>
      </w:r>
      <w:r w:rsidRPr="00431BA7">
        <w:rPr>
          <w:rFonts w:cstheme="minorHAnsi"/>
          <w:sz w:val="24"/>
          <w:szCs w:val="24"/>
        </w:rPr>
        <w:t>:  EPA received a few comments on the proposed (denied CBI claim) reconsideration process.  Some commenters supported the proposal, offering further suggestions such as that supplementation of previously provided substantiation should be permitted.  One commenter was against the proposal, describing it as biased, open-ended, and lacking in transparency.</w:t>
      </w:r>
    </w:p>
    <w:p w14:paraId="6437C26C" w14:textId="66269E14" w:rsidR="00837FD5" w:rsidRPr="00431BA7" w:rsidRDefault="00837FD5" w:rsidP="00204FD8">
      <w:pPr>
        <w:rPr>
          <w:rFonts w:cstheme="minorHAnsi"/>
          <w:sz w:val="24"/>
          <w:szCs w:val="24"/>
        </w:rPr>
      </w:pPr>
      <w:r w:rsidRPr="00431BA7">
        <w:rPr>
          <w:rFonts w:cstheme="minorHAnsi"/>
          <w:sz w:val="24"/>
          <w:szCs w:val="24"/>
        </w:rPr>
        <w:t>Source: -0050; -0044; -0054; -0051</w:t>
      </w:r>
    </w:p>
    <w:p w14:paraId="3E186722" w14:textId="5B8F91E6" w:rsidR="00204FD8" w:rsidRPr="00431BA7" w:rsidRDefault="00060C02">
      <w:pPr>
        <w:rPr>
          <w:rFonts w:cstheme="minorHAnsi"/>
          <w:b/>
          <w:bCs/>
          <w:sz w:val="24"/>
          <w:szCs w:val="24"/>
        </w:rPr>
      </w:pPr>
      <w:r w:rsidRPr="00431BA7">
        <w:rPr>
          <w:rFonts w:cstheme="minorHAnsi"/>
          <w:b/>
          <w:bCs/>
          <w:sz w:val="24"/>
          <w:szCs w:val="24"/>
        </w:rPr>
        <w:t>Response</w:t>
      </w:r>
      <w:r w:rsidR="0039478C" w:rsidRPr="00431BA7">
        <w:rPr>
          <w:rFonts w:cstheme="minorHAnsi"/>
          <w:b/>
          <w:bCs/>
          <w:sz w:val="24"/>
          <w:szCs w:val="24"/>
        </w:rPr>
        <w:t xml:space="preserve">: </w:t>
      </w:r>
      <w:r w:rsidR="000326A6" w:rsidRPr="00431BA7">
        <w:rPr>
          <w:rFonts w:cstheme="minorHAnsi"/>
          <w:b/>
          <w:bCs/>
          <w:sz w:val="24"/>
          <w:szCs w:val="24"/>
        </w:rPr>
        <w:t xml:space="preserve"> </w:t>
      </w:r>
      <w:r w:rsidR="00610A71" w:rsidRPr="00431BA7">
        <w:rPr>
          <w:rFonts w:cstheme="minorHAnsi"/>
          <w:sz w:val="24"/>
          <w:szCs w:val="24"/>
        </w:rPr>
        <w:t xml:space="preserve">EPA has omitted the reconsideration mechanism from the final rule.  </w:t>
      </w:r>
      <w:r w:rsidR="008028C0" w:rsidRPr="00431BA7">
        <w:rPr>
          <w:rFonts w:cstheme="minorHAnsi"/>
          <w:sz w:val="24"/>
          <w:szCs w:val="24"/>
        </w:rPr>
        <w:t xml:space="preserve">On further consideration, EPA is persuaded that it is unnecessary.  </w:t>
      </w:r>
      <w:r w:rsidR="00610A71" w:rsidRPr="00431BA7">
        <w:rPr>
          <w:rFonts w:cstheme="minorHAnsi"/>
          <w:sz w:val="24"/>
          <w:szCs w:val="24"/>
        </w:rPr>
        <w:t xml:space="preserve">However, </w:t>
      </w:r>
      <w:r w:rsidR="008028C0" w:rsidRPr="00431BA7">
        <w:rPr>
          <w:rFonts w:cstheme="minorHAnsi"/>
          <w:sz w:val="24"/>
          <w:szCs w:val="24"/>
        </w:rPr>
        <w:t xml:space="preserve">if a person believes that a determination was issued in error or has questions about the determination, they may still promptly </w:t>
      </w:r>
      <w:r w:rsidR="0093353A" w:rsidRPr="00431BA7">
        <w:rPr>
          <w:rFonts w:cstheme="minorHAnsi"/>
          <w:sz w:val="24"/>
          <w:szCs w:val="24"/>
        </w:rPr>
        <w:t xml:space="preserve">contact </w:t>
      </w:r>
      <w:r w:rsidR="008028C0" w:rsidRPr="00431BA7">
        <w:rPr>
          <w:rFonts w:cstheme="minorHAnsi"/>
          <w:sz w:val="24"/>
          <w:szCs w:val="24"/>
        </w:rPr>
        <w:t>EPA (using the contact information in the final CBI determination letter) about their concerns prior to filing a judicial appeal.</w:t>
      </w:r>
    </w:p>
    <w:p w14:paraId="77221173" w14:textId="45B0CAAC" w:rsidR="002C3FD4" w:rsidRPr="00431BA7" w:rsidRDefault="002C3FD4" w:rsidP="004F0AEF">
      <w:pPr>
        <w:pStyle w:val="Heading2"/>
        <w:numPr>
          <w:ilvl w:val="0"/>
          <w:numId w:val="0"/>
        </w:numPr>
        <w:ind w:left="360" w:hanging="360"/>
      </w:pPr>
      <w:bookmarkStart w:id="32" w:name="_Toc132901199"/>
      <w:bookmarkEnd w:id="31"/>
      <w:r w:rsidRPr="00431BA7">
        <w:t xml:space="preserve">Unit </w:t>
      </w:r>
      <w:r w:rsidR="00E47D5E" w:rsidRPr="00431BA7">
        <w:t>2</w:t>
      </w:r>
      <w:r w:rsidR="00E401BF" w:rsidRPr="00431BA7">
        <w:t>1</w:t>
      </w:r>
      <w:r w:rsidRPr="00431BA7">
        <w:t>: EPA Review under 14(f) (</w:t>
      </w:r>
      <w:r w:rsidR="00B6654E" w:rsidRPr="00431BA7">
        <w:t xml:space="preserve">40 CFR </w:t>
      </w:r>
      <w:r w:rsidRPr="00431BA7">
        <w:t>703.8)</w:t>
      </w:r>
      <w:bookmarkEnd w:id="32"/>
    </w:p>
    <w:p w14:paraId="5C5FDED6" w14:textId="7A4C54D2" w:rsidR="00A82721" w:rsidRPr="00431BA7" w:rsidRDefault="00A82721">
      <w:pPr>
        <w:rPr>
          <w:rFonts w:cstheme="minorHAnsi"/>
          <w:sz w:val="24"/>
          <w:szCs w:val="24"/>
        </w:rPr>
      </w:pPr>
      <w:r w:rsidRPr="00431BA7">
        <w:rPr>
          <w:rFonts w:cstheme="minorHAnsi"/>
          <w:b/>
          <w:bCs/>
          <w:sz w:val="24"/>
          <w:szCs w:val="24"/>
        </w:rPr>
        <w:t xml:space="preserve">Comment: </w:t>
      </w:r>
      <w:r w:rsidRPr="00431BA7">
        <w:rPr>
          <w:rFonts w:cstheme="minorHAnsi"/>
          <w:sz w:val="24"/>
          <w:szCs w:val="24"/>
        </w:rPr>
        <w:t xml:space="preserve">One commenter suggested that EPA should elaborate on when it will do discretionary CBI reviews under </w:t>
      </w:r>
      <w:r w:rsidR="00056305" w:rsidRPr="00431BA7">
        <w:rPr>
          <w:rFonts w:cstheme="minorHAnsi"/>
          <w:sz w:val="24"/>
          <w:szCs w:val="24"/>
        </w:rPr>
        <w:t xml:space="preserve">TSCA </w:t>
      </w:r>
      <w:r w:rsidRPr="00431BA7">
        <w:rPr>
          <w:rFonts w:cstheme="minorHAnsi"/>
          <w:sz w:val="24"/>
          <w:szCs w:val="24"/>
        </w:rPr>
        <w:t>section 14(f)(1), that the provisions of section 14(f)(1) should be repeated in the rule, and that EPA should clarify that the TSCA section 14(c)(2) substantiation exemptions do not apply in the case of section 14(f) reviews.</w:t>
      </w:r>
    </w:p>
    <w:p w14:paraId="267EF62B" w14:textId="0C62B60B" w:rsidR="00837FD5" w:rsidRPr="00431BA7" w:rsidRDefault="00837FD5">
      <w:pPr>
        <w:rPr>
          <w:rFonts w:cstheme="minorHAnsi"/>
          <w:b/>
          <w:bCs/>
          <w:sz w:val="24"/>
          <w:szCs w:val="24"/>
        </w:rPr>
      </w:pPr>
      <w:r w:rsidRPr="00431BA7">
        <w:rPr>
          <w:rFonts w:cstheme="minorHAnsi"/>
          <w:sz w:val="24"/>
          <w:szCs w:val="24"/>
        </w:rPr>
        <w:t>Source: -0050</w:t>
      </w:r>
    </w:p>
    <w:p w14:paraId="0DD34714" w14:textId="45E43969" w:rsidR="00F81AA6" w:rsidRPr="00431BA7" w:rsidRDefault="00060C02">
      <w:pPr>
        <w:rPr>
          <w:rFonts w:cstheme="minorHAnsi"/>
          <w:sz w:val="24"/>
          <w:szCs w:val="24"/>
        </w:rPr>
      </w:pPr>
      <w:r w:rsidRPr="00431BA7">
        <w:rPr>
          <w:rFonts w:cstheme="minorHAnsi"/>
          <w:b/>
          <w:bCs/>
          <w:sz w:val="24"/>
          <w:szCs w:val="24"/>
        </w:rPr>
        <w:lastRenderedPageBreak/>
        <w:t>Response</w:t>
      </w:r>
      <w:r w:rsidR="0039478C" w:rsidRPr="00431BA7">
        <w:rPr>
          <w:rFonts w:cstheme="minorHAnsi"/>
          <w:b/>
          <w:bCs/>
          <w:sz w:val="24"/>
          <w:szCs w:val="24"/>
        </w:rPr>
        <w:t xml:space="preserve">: </w:t>
      </w:r>
      <w:r w:rsidR="00961A64" w:rsidRPr="00431BA7">
        <w:rPr>
          <w:rFonts w:cstheme="minorHAnsi"/>
          <w:b/>
          <w:bCs/>
          <w:sz w:val="24"/>
          <w:szCs w:val="24"/>
        </w:rPr>
        <w:t xml:space="preserve"> </w:t>
      </w:r>
      <w:r w:rsidR="00A82721" w:rsidRPr="00431BA7">
        <w:rPr>
          <w:rFonts w:cstheme="minorHAnsi"/>
          <w:sz w:val="24"/>
          <w:szCs w:val="24"/>
        </w:rPr>
        <w:t>EPA intends to undertake reviews under section 14(f)(1) in accordance with that section.  It is not possible for EPA to predict when, how often, or under what precise circumstances it will conduct these discretionary reviews.  EPA believes that the section 14(f)(1) provisions speak for themselves and are not necessary to repeat in a regulation</w:t>
      </w:r>
      <w:r w:rsidR="00F81AA6" w:rsidRPr="00431BA7">
        <w:rPr>
          <w:rFonts w:cstheme="minorHAnsi"/>
          <w:sz w:val="24"/>
          <w:szCs w:val="24"/>
        </w:rPr>
        <w:t>.  EPA would point out that the fact that section 14(c)(2)</w:t>
      </w:r>
      <w:r w:rsidR="00A82721" w:rsidRPr="00431BA7">
        <w:rPr>
          <w:rFonts w:cstheme="minorHAnsi"/>
          <w:sz w:val="24"/>
          <w:szCs w:val="24"/>
        </w:rPr>
        <w:t xml:space="preserve"> exempt</w:t>
      </w:r>
      <w:r w:rsidR="00F81AA6" w:rsidRPr="00431BA7">
        <w:rPr>
          <w:rFonts w:cstheme="minorHAnsi"/>
          <w:sz w:val="24"/>
          <w:szCs w:val="24"/>
        </w:rPr>
        <w:t xml:space="preserve">ions do not apply in the case of section 14(f) review </w:t>
      </w:r>
      <w:r w:rsidR="00056305" w:rsidRPr="00431BA7">
        <w:rPr>
          <w:rFonts w:cstheme="minorHAnsi"/>
          <w:sz w:val="24"/>
          <w:szCs w:val="24"/>
        </w:rPr>
        <w:t xml:space="preserve">is </w:t>
      </w:r>
      <w:r w:rsidR="00F81AA6" w:rsidRPr="00431BA7">
        <w:rPr>
          <w:rFonts w:cstheme="minorHAnsi"/>
          <w:sz w:val="24"/>
          <w:szCs w:val="24"/>
        </w:rPr>
        <w:t>included in the</w:t>
      </w:r>
      <w:r w:rsidR="006D42AA" w:rsidRPr="00431BA7">
        <w:rPr>
          <w:rFonts w:cstheme="minorHAnsi"/>
          <w:sz w:val="24"/>
          <w:szCs w:val="24"/>
        </w:rPr>
        <w:t xml:space="preserve"> </w:t>
      </w:r>
      <w:r w:rsidR="00F81AA6" w:rsidRPr="00431BA7">
        <w:rPr>
          <w:rFonts w:cstheme="minorHAnsi"/>
          <w:sz w:val="24"/>
          <w:szCs w:val="24"/>
        </w:rPr>
        <w:t>regulation, at 40 CFR 703.8(b).</w:t>
      </w:r>
    </w:p>
    <w:p w14:paraId="7066354B" w14:textId="56DE87EB" w:rsidR="00653AB4" w:rsidRPr="00431BA7" w:rsidRDefault="00653AB4" w:rsidP="00653AB4">
      <w:pPr>
        <w:rPr>
          <w:rFonts w:cstheme="minorHAnsi"/>
          <w:sz w:val="24"/>
          <w:szCs w:val="24"/>
        </w:rPr>
      </w:pPr>
      <w:r w:rsidRPr="00431BA7">
        <w:rPr>
          <w:rFonts w:cstheme="minorHAnsi"/>
          <w:b/>
          <w:bCs/>
          <w:sz w:val="24"/>
          <w:szCs w:val="24"/>
        </w:rPr>
        <w:t>Comment</w:t>
      </w:r>
      <w:r w:rsidRPr="00431BA7">
        <w:rPr>
          <w:rFonts w:cstheme="minorHAnsi"/>
          <w:sz w:val="24"/>
          <w:szCs w:val="24"/>
        </w:rPr>
        <w:t>:  One commenter criticize</w:t>
      </w:r>
      <w:r w:rsidR="002E701A" w:rsidRPr="00431BA7">
        <w:rPr>
          <w:rFonts w:cstheme="minorHAnsi"/>
          <w:sz w:val="24"/>
          <w:szCs w:val="24"/>
        </w:rPr>
        <w:t>d</w:t>
      </w:r>
      <w:r w:rsidRPr="00431BA7">
        <w:rPr>
          <w:rFonts w:cstheme="minorHAnsi"/>
          <w:sz w:val="24"/>
          <w:szCs w:val="24"/>
        </w:rPr>
        <w:t xml:space="preserve"> the use of permissive language in the provisions on collecting substantiation prior to </w:t>
      </w:r>
      <w:r w:rsidR="002E701A" w:rsidRPr="00431BA7">
        <w:rPr>
          <w:rFonts w:cstheme="minorHAnsi"/>
          <w:sz w:val="24"/>
          <w:szCs w:val="24"/>
        </w:rPr>
        <w:t xml:space="preserve">section </w:t>
      </w:r>
      <w:r w:rsidRPr="00431BA7">
        <w:rPr>
          <w:rFonts w:cstheme="minorHAnsi"/>
          <w:sz w:val="24"/>
          <w:szCs w:val="24"/>
        </w:rPr>
        <w:t xml:space="preserve">14(f) review, noting that TSCA now obligates parties asserting CBI claims to substantiate them.  </w:t>
      </w:r>
    </w:p>
    <w:p w14:paraId="254067FB" w14:textId="4895DF85" w:rsidR="00837FD5" w:rsidRPr="00431BA7" w:rsidRDefault="00837FD5" w:rsidP="00653AB4">
      <w:pPr>
        <w:rPr>
          <w:rFonts w:cstheme="minorHAnsi"/>
          <w:sz w:val="24"/>
          <w:szCs w:val="24"/>
        </w:rPr>
      </w:pPr>
      <w:r w:rsidRPr="00431BA7">
        <w:rPr>
          <w:rFonts w:cstheme="minorHAnsi"/>
          <w:sz w:val="24"/>
          <w:szCs w:val="24"/>
        </w:rPr>
        <w:t>Source: -0050</w:t>
      </w:r>
    </w:p>
    <w:p w14:paraId="1C177D8D" w14:textId="77777777" w:rsidR="00653AB4" w:rsidRPr="00431BA7" w:rsidRDefault="00653AB4" w:rsidP="00653AB4">
      <w:pPr>
        <w:rPr>
          <w:rFonts w:cstheme="minorHAnsi"/>
          <w:sz w:val="24"/>
          <w:szCs w:val="24"/>
        </w:rPr>
      </w:pPr>
      <w:r w:rsidRPr="00431BA7">
        <w:rPr>
          <w:rFonts w:cstheme="minorHAnsi"/>
          <w:b/>
          <w:bCs/>
          <w:sz w:val="24"/>
          <w:szCs w:val="24"/>
        </w:rPr>
        <w:t>Response</w:t>
      </w:r>
      <w:r w:rsidRPr="00431BA7">
        <w:rPr>
          <w:rFonts w:cstheme="minorHAnsi"/>
          <w:sz w:val="24"/>
          <w:szCs w:val="24"/>
        </w:rPr>
        <w:t xml:space="preserve">: The commenter misunderstands these provisions.  The “if necessary” language is meant to avoid unnecessary delay in conducting the review by acknowledging that some claims may already have substantiation, and thus there is no practical need to ask for more before proceeding with CBI review.  EPA notes that for FOIA request-prompted reviews under TSCA section 14(f)(2)(A), CBI review and claim reassertion or substantiation is required “as necessary to determine” whether the information is exempt from disclosure under FOIA.  Certainly, it is not necessary to collect substantiation in cases where the claim is already sufficiently substantiated.  </w:t>
      </w:r>
    </w:p>
    <w:p w14:paraId="777A7CB6" w14:textId="3FD9E2B1" w:rsidR="002C3FD4" w:rsidRPr="00431BA7" w:rsidRDefault="002C3FD4" w:rsidP="002756D2">
      <w:pPr>
        <w:pStyle w:val="Heading2"/>
        <w:numPr>
          <w:ilvl w:val="0"/>
          <w:numId w:val="0"/>
        </w:numPr>
        <w:ind w:left="360" w:hanging="360"/>
      </w:pPr>
      <w:bookmarkStart w:id="33" w:name="_Toc132901200"/>
      <w:r w:rsidRPr="00431BA7">
        <w:t xml:space="preserve">Unit </w:t>
      </w:r>
      <w:r w:rsidR="00E47D5E" w:rsidRPr="00431BA7">
        <w:t>2</w:t>
      </w:r>
      <w:r w:rsidR="00E401BF" w:rsidRPr="00431BA7">
        <w:t>2</w:t>
      </w:r>
      <w:r w:rsidRPr="00431BA7">
        <w:t>: Proposed revisions and consolidation of pre-existing TSCA rules on CBI</w:t>
      </w:r>
      <w:bookmarkEnd w:id="33"/>
    </w:p>
    <w:p w14:paraId="4DC0FD73" w14:textId="32112594" w:rsidR="00911AE2" w:rsidRPr="00431BA7" w:rsidRDefault="00911AE2" w:rsidP="00911AE2">
      <w:pPr>
        <w:rPr>
          <w:rFonts w:cstheme="minorHAnsi"/>
          <w:sz w:val="24"/>
          <w:szCs w:val="24"/>
        </w:rPr>
      </w:pPr>
      <w:r w:rsidRPr="00431BA7">
        <w:rPr>
          <w:rFonts w:cstheme="minorHAnsi"/>
          <w:b/>
          <w:bCs/>
          <w:sz w:val="24"/>
          <w:szCs w:val="24"/>
        </w:rPr>
        <w:t>Comment</w:t>
      </w:r>
      <w:r w:rsidRPr="00431BA7">
        <w:rPr>
          <w:rFonts w:cstheme="minorHAnsi"/>
          <w:sz w:val="24"/>
          <w:szCs w:val="24"/>
        </w:rPr>
        <w:t>:</w:t>
      </w:r>
      <w:r w:rsidR="00402D62" w:rsidRPr="00431BA7">
        <w:rPr>
          <w:rFonts w:cstheme="minorHAnsi"/>
          <w:sz w:val="24"/>
          <w:szCs w:val="24"/>
        </w:rPr>
        <w:t xml:space="preserve">  One commenter favored retaining existing CBI provisions in 40 CFR 704.7, </w:t>
      </w:r>
      <w:r w:rsidR="00E1497E" w:rsidRPr="00431BA7">
        <w:rPr>
          <w:rFonts w:cstheme="minorHAnsi"/>
          <w:sz w:val="24"/>
          <w:szCs w:val="24"/>
        </w:rPr>
        <w:t>716. 55, and 790.7</w:t>
      </w:r>
      <w:r w:rsidR="002E701A" w:rsidRPr="00431BA7">
        <w:rPr>
          <w:rFonts w:cstheme="minorHAnsi"/>
          <w:sz w:val="24"/>
          <w:szCs w:val="24"/>
        </w:rPr>
        <w:t>,</w:t>
      </w:r>
      <w:r w:rsidR="00E1497E" w:rsidRPr="00431BA7">
        <w:rPr>
          <w:rFonts w:cstheme="minorHAnsi"/>
          <w:sz w:val="24"/>
          <w:szCs w:val="24"/>
        </w:rPr>
        <w:t xml:space="preserve"> </w:t>
      </w:r>
      <w:r w:rsidR="00402D62" w:rsidRPr="00431BA7">
        <w:rPr>
          <w:rFonts w:cstheme="minorHAnsi"/>
          <w:sz w:val="24"/>
          <w:szCs w:val="24"/>
        </w:rPr>
        <w:t xml:space="preserve">concluding that those provisions are more specific than the parallel provisions in </w:t>
      </w:r>
      <w:r w:rsidR="002E701A" w:rsidRPr="00431BA7">
        <w:rPr>
          <w:rFonts w:cstheme="minorHAnsi"/>
          <w:sz w:val="24"/>
          <w:szCs w:val="24"/>
        </w:rPr>
        <w:t xml:space="preserve">40 CFR </w:t>
      </w:r>
      <w:r w:rsidR="00402D62" w:rsidRPr="00431BA7">
        <w:rPr>
          <w:rFonts w:cstheme="minorHAnsi"/>
          <w:sz w:val="24"/>
          <w:szCs w:val="24"/>
        </w:rPr>
        <w:t>703.</w:t>
      </w:r>
    </w:p>
    <w:p w14:paraId="158CC0F2" w14:textId="14A132BA" w:rsidR="00837FD5" w:rsidRPr="00431BA7" w:rsidRDefault="00837FD5" w:rsidP="00911AE2">
      <w:pPr>
        <w:rPr>
          <w:rFonts w:cstheme="minorHAnsi"/>
          <w:sz w:val="24"/>
          <w:szCs w:val="24"/>
        </w:rPr>
      </w:pPr>
      <w:r w:rsidRPr="00431BA7">
        <w:rPr>
          <w:rFonts w:cstheme="minorHAnsi"/>
          <w:sz w:val="24"/>
          <w:szCs w:val="24"/>
        </w:rPr>
        <w:t>Source: -0050</w:t>
      </w:r>
    </w:p>
    <w:p w14:paraId="7FC80222" w14:textId="594F37FF" w:rsidR="00911AE2" w:rsidRPr="00431BA7" w:rsidRDefault="00060C02" w:rsidP="00911AE2">
      <w:pPr>
        <w:rPr>
          <w:rFonts w:cstheme="minorHAnsi"/>
          <w:sz w:val="24"/>
          <w:szCs w:val="24"/>
        </w:rPr>
      </w:pPr>
      <w:r w:rsidRPr="00431BA7">
        <w:rPr>
          <w:rFonts w:cstheme="minorHAnsi"/>
          <w:b/>
          <w:bCs/>
          <w:sz w:val="24"/>
          <w:szCs w:val="24"/>
        </w:rPr>
        <w:t>Response</w:t>
      </w:r>
      <w:r w:rsidR="00911AE2" w:rsidRPr="00431BA7">
        <w:rPr>
          <w:rFonts w:cstheme="minorHAnsi"/>
          <w:sz w:val="24"/>
          <w:szCs w:val="24"/>
        </w:rPr>
        <w:t>:</w:t>
      </w:r>
      <w:r w:rsidR="00402D62" w:rsidRPr="00431BA7">
        <w:rPr>
          <w:rFonts w:cstheme="minorHAnsi"/>
          <w:sz w:val="24"/>
          <w:szCs w:val="24"/>
        </w:rPr>
        <w:t xml:space="preserve">  EPA disagrees with this comment.  As was discussed in the preamble to the proposed rule, one feature of the rule is to largely centralize CBI requirements in one section of the rules.  Pre-existing TSCA rules do not fully implement the new requirements under section 14 and have a good deal of variation in their requirements.  For example, </w:t>
      </w:r>
      <w:r w:rsidR="002E701A" w:rsidRPr="00431BA7">
        <w:rPr>
          <w:rFonts w:cstheme="minorHAnsi"/>
          <w:sz w:val="24"/>
          <w:szCs w:val="24"/>
        </w:rPr>
        <w:t xml:space="preserve">40 CFR </w:t>
      </w:r>
      <w:r w:rsidR="00402D62" w:rsidRPr="00431BA7">
        <w:rPr>
          <w:rFonts w:cstheme="minorHAnsi"/>
          <w:sz w:val="24"/>
          <w:szCs w:val="24"/>
        </w:rPr>
        <w:t>704 does not include substantiation requirement</w:t>
      </w:r>
      <w:r w:rsidR="00995743" w:rsidRPr="00431BA7">
        <w:rPr>
          <w:rFonts w:cstheme="minorHAnsi"/>
          <w:sz w:val="24"/>
          <w:szCs w:val="24"/>
        </w:rPr>
        <w:t xml:space="preserve">s.  The provision that failing to provide a public copy is a presumptive waiver of any CBI claim made in a submission under </w:t>
      </w:r>
      <w:r w:rsidR="002E701A" w:rsidRPr="00431BA7">
        <w:rPr>
          <w:rFonts w:cstheme="minorHAnsi"/>
          <w:sz w:val="24"/>
          <w:szCs w:val="24"/>
        </w:rPr>
        <w:t xml:space="preserve">40 CFR </w:t>
      </w:r>
      <w:r w:rsidR="00995743" w:rsidRPr="00431BA7">
        <w:rPr>
          <w:rFonts w:cstheme="minorHAnsi"/>
          <w:sz w:val="24"/>
          <w:szCs w:val="24"/>
        </w:rPr>
        <w:t>704 does not reflect the fact that TSCA e-reporting tools now automatically prompt the submitter for a public copy of CBI submissions when required (making failure to provide a public copy much less likely), and TSCA requirements (section 14(g)) that CBI claims in a submission must generally be denied before the submission is disclosed to the public.</w:t>
      </w:r>
      <w:r w:rsidR="009F205E" w:rsidRPr="00431BA7">
        <w:rPr>
          <w:rFonts w:cstheme="minorHAnsi"/>
          <w:sz w:val="24"/>
          <w:szCs w:val="24"/>
        </w:rPr>
        <w:t xml:space="preserve">  Further, with respect to the latter, EPA notes that </w:t>
      </w:r>
      <w:r w:rsidR="002E701A" w:rsidRPr="00431BA7">
        <w:rPr>
          <w:rFonts w:cstheme="minorHAnsi"/>
          <w:sz w:val="24"/>
          <w:szCs w:val="24"/>
        </w:rPr>
        <w:t xml:space="preserve">40 CFR </w:t>
      </w:r>
      <w:r w:rsidR="009F205E" w:rsidRPr="00431BA7">
        <w:rPr>
          <w:rFonts w:cstheme="minorHAnsi"/>
          <w:sz w:val="24"/>
          <w:szCs w:val="24"/>
        </w:rPr>
        <w:t>parts 704, 716, and 717 each had provisions pre-dating the Lautenberg amendments that required notice to the submitting company concerning deficiencies with public copies and permitting correction of the problem.</w:t>
      </w:r>
      <w:r w:rsidR="001904BB" w:rsidRPr="00431BA7">
        <w:rPr>
          <w:rFonts w:cstheme="minorHAnsi"/>
          <w:sz w:val="24"/>
          <w:szCs w:val="24"/>
        </w:rPr>
        <w:t xml:space="preserve">  EPA was not permitted to make the CBI copy immediately available, notice was to have been made by certified mail instead of </w:t>
      </w:r>
      <w:r w:rsidR="001904BB" w:rsidRPr="00431BA7">
        <w:rPr>
          <w:rFonts w:cstheme="minorHAnsi"/>
          <w:sz w:val="24"/>
          <w:szCs w:val="24"/>
        </w:rPr>
        <w:lastRenderedPageBreak/>
        <w:t>electronically, and the notice periods were all longer than the period permitted for correction of deficiencies in the final rule (704.7(c)(4)</w:t>
      </w:r>
      <w:r w:rsidR="002E701A" w:rsidRPr="00431BA7">
        <w:rPr>
          <w:rFonts w:cstheme="minorHAnsi"/>
          <w:sz w:val="24"/>
          <w:szCs w:val="24"/>
        </w:rPr>
        <w:t>:</w:t>
      </w:r>
      <w:r w:rsidR="001904BB" w:rsidRPr="00431BA7">
        <w:rPr>
          <w:rFonts w:cstheme="minorHAnsi"/>
          <w:sz w:val="24"/>
          <w:szCs w:val="24"/>
        </w:rPr>
        <w:t>15 days; 716.55(b)(3)</w:t>
      </w:r>
      <w:r w:rsidR="002E701A" w:rsidRPr="00431BA7">
        <w:rPr>
          <w:rFonts w:cstheme="minorHAnsi"/>
          <w:sz w:val="24"/>
          <w:szCs w:val="24"/>
        </w:rPr>
        <w:t xml:space="preserve">: </w:t>
      </w:r>
      <w:r w:rsidR="001904BB" w:rsidRPr="00431BA7">
        <w:rPr>
          <w:rFonts w:cstheme="minorHAnsi"/>
          <w:sz w:val="24"/>
          <w:szCs w:val="24"/>
        </w:rPr>
        <w:t>30 days; and 717.19(c)(4)</w:t>
      </w:r>
      <w:r w:rsidR="002E701A" w:rsidRPr="00431BA7">
        <w:rPr>
          <w:rFonts w:cstheme="minorHAnsi"/>
          <w:sz w:val="24"/>
          <w:szCs w:val="24"/>
        </w:rPr>
        <w:t xml:space="preserve">: </w:t>
      </w:r>
      <w:r w:rsidR="001904BB" w:rsidRPr="00431BA7">
        <w:rPr>
          <w:rFonts w:cstheme="minorHAnsi"/>
          <w:sz w:val="24"/>
          <w:szCs w:val="24"/>
        </w:rPr>
        <w:t>30 days).</w:t>
      </w:r>
    </w:p>
    <w:p w14:paraId="73403E15" w14:textId="2CE660F9" w:rsidR="00911AE2" w:rsidRPr="00431BA7" w:rsidRDefault="00911AE2" w:rsidP="00911AE2">
      <w:pPr>
        <w:rPr>
          <w:rFonts w:cstheme="minorHAnsi"/>
          <w:sz w:val="24"/>
          <w:szCs w:val="24"/>
        </w:rPr>
      </w:pPr>
      <w:r w:rsidRPr="00431BA7">
        <w:rPr>
          <w:rFonts w:cstheme="minorHAnsi"/>
          <w:b/>
          <w:bCs/>
          <w:sz w:val="24"/>
          <w:szCs w:val="24"/>
        </w:rPr>
        <w:t>Comment</w:t>
      </w:r>
      <w:r w:rsidRPr="00431BA7">
        <w:rPr>
          <w:rFonts w:cstheme="minorHAnsi"/>
          <w:sz w:val="24"/>
          <w:szCs w:val="24"/>
        </w:rPr>
        <w:t>:</w:t>
      </w:r>
      <w:r w:rsidR="00DF76C0" w:rsidRPr="00431BA7">
        <w:rPr>
          <w:rFonts w:cstheme="minorHAnsi"/>
          <w:sz w:val="24"/>
          <w:szCs w:val="24"/>
        </w:rPr>
        <w:t xml:space="preserve"> One commenter criticized the proposed clarification of 40 CFR 707.67, asserting that reporting by generic name is inadequate and that the submitter should have to assert and substantiate any confidential chemical identity claim.</w:t>
      </w:r>
    </w:p>
    <w:p w14:paraId="1D230E32" w14:textId="07AEC2DD" w:rsidR="00837FD5" w:rsidRPr="00431BA7" w:rsidRDefault="00837FD5" w:rsidP="00911AE2">
      <w:pPr>
        <w:rPr>
          <w:rFonts w:cstheme="minorHAnsi"/>
          <w:sz w:val="24"/>
          <w:szCs w:val="24"/>
        </w:rPr>
      </w:pPr>
      <w:r w:rsidRPr="00431BA7">
        <w:rPr>
          <w:rFonts w:cstheme="minorHAnsi"/>
          <w:sz w:val="24"/>
          <w:szCs w:val="24"/>
        </w:rPr>
        <w:t>Source: -0050</w:t>
      </w:r>
    </w:p>
    <w:p w14:paraId="029AB3ED" w14:textId="4820C0C7" w:rsidR="00911AE2" w:rsidRPr="00431BA7" w:rsidRDefault="00060C02" w:rsidP="00911AE2">
      <w:pPr>
        <w:rPr>
          <w:rFonts w:cstheme="minorHAnsi"/>
          <w:sz w:val="24"/>
          <w:szCs w:val="24"/>
        </w:rPr>
      </w:pPr>
      <w:r w:rsidRPr="00431BA7">
        <w:rPr>
          <w:rFonts w:cstheme="minorHAnsi"/>
          <w:b/>
          <w:bCs/>
          <w:sz w:val="24"/>
          <w:szCs w:val="24"/>
        </w:rPr>
        <w:t>Response</w:t>
      </w:r>
      <w:r w:rsidR="00911AE2" w:rsidRPr="00431BA7">
        <w:rPr>
          <w:rFonts w:cstheme="minorHAnsi"/>
          <w:sz w:val="24"/>
          <w:szCs w:val="24"/>
        </w:rPr>
        <w:t>:</w:t>
      </w:r>
      <w:r w:rsidR="00DF76C0" w:rsidRPr="00431BA7">
        <w:rPr>
          <w:rFonts w:cstheme="minorHAnsi"/>
          <w:sz w:val="24"/>
          <w:szCs w:val="24"/>
        </w:rPr>
        <w:t xml:space="preserve">  EPA notes that the proposed revisions to 40 CFR 707.67 do little but clarify the status quo.  The commenter is incorrect that the rule requires only identification of a generic name, or that EPA cannot identify the substance under the proposed reporting requirements.  The rule has long required that the substance be identified as it was in the rule or order that triggered the export reporting requirements.  In addition to generic name, such rules and orders would include either an accession number and/or PMN number, both of which specifically identify the chemical to EPA.  Moreover, the rules require a citation to </w:t>
      </w:r>
      <w:r w:rsidR="004E7FC4" w:rsidRPr="00431BA7">
        <w:rPr>
          <w:rFonts w:cstheme="minorHAnsi"/>
          <w:sz w:val="24"/>
          <w:szCs w:val="24"/>
        </w:rPr>
        <w:t>the TSCA provision under which the chemical was regulated</w:t>
      </w:r>
      <w:r w:rsidR="00DF76C0" w:rsidRPr="00431BA7">
        <w:rPr>
          <w:rFonts w:cstheme="minorHAnsi"/>
          <w:sz w:val="24"/>
          <w:szCs w:val="24"/>
        </w:rPr>
        <w:t>, which serve</w:t>
      </w:r>
      <w:r w:rsidR="004E7FC4" w:rsidRPr="00431BA7">
        <w:rPr>
          <w:rFonts w:cstheme="minorHAnsi"/>
          <w:sz w:val="24"/>
          <w:szCs w:val="24"/>
        </w:rPr>
        <w:t>s</w:t>
      </w:r>
      <w:r w:rsidR="00DF76C0" w:rsidRPr="00431BA7">
        <w:rPr>
          <w:rFonts w:cstheme="minorHAnsi"/>
          <w:sz w:val="24"/>
          <w:szCs w:val="24"/>
        </w:rPr>
        <w:t xml:space="preserve"> to further identify the chemical.  The </w:t>
      </w:r>
      <w:r w:rsidR="002E701A" w:rsidRPr="00431BA7">
        <w:rPr>
          <w:rFonts w:cstheme="minorHAnsi"/>
          <w:sz w:val="24"/>
          <w:szCs w:val="24"/>
        </w:rPr>
        <w:t xml:space="preserve">TSCA </w:t>
      </w:r>
      <w:r w:rsidR="00F53F6C" w:rsidRPr="00431BA7">
        <w:rPr>
          <w:rFonts w:cstheme="minorHAnsi"/>
          <w:sz w:val="24"/>
          <w:szCs w:val="24"/>
        </w:rPr>
        <w:t xml:space="preserve">section 12(b) </w:t>
      </w:r>
      <w:r w:rsidR="00DF76C0" w:rsidRPr="00431BA7">
        <w:rPr>
          <w:rFonts w:cstheme="minorHAnsi"/>
          <w:sz w:val="24"/>
          <w:szCs w:val="24"/>
        </w:rPr>
        <w:t>rule do</w:t>
      </w:r>
      <w:r w:rsidR="00F53F6C" w:rsidRPr="00431BA7">
        <w:rPr>
          <w:rFonts w:cstheme="minorHAnsi"/>
          <w:sz w:val="24"/>
          <w:szCs w:val="24"/>
        </w:rPr>
        <w:t>es</w:t>
      </w:r>
      <w:r w:rsidR="00DF76C0" w:rsidRPr="00431BA7">
        <w:rPr>
          <w:rFonts w:cstheme="minorHAnsi"/>
          <w:sz w:val="24"/>
          <w:szCs w:val="24"/>
        </w:rPr>
        <w:t xml:space="preserve"> not require that a CBI claim be asserted to maintain the confidential inventory status of substances </w:t>
      </w:r>
      <w:r w:rsidR="00F53F6C" w:rsidRPr="00431BA7">
        <w:rPr>
          <w:rFonts w:cstheme="minorHAnsi"/>
          <w:sz w:val="24"/>
          <w:szCs w:val="24"/>
        </w:rPr>
        <w:t>that are identified by non-confidential identifiers.  This is different from the CDR rule, which has long included a requirement to assert and substantiate chemical identity claims, even though the CDR report itself includes only accession numbers for confidential substances, not the specific name or CASRN.  This difference has much to do with the very different purpose, history, and audience for CDR rule data (which used to be called the Inventory Update Rule</w:t>
      </w:r>
      <w:r w:rsidR="00300732" w:rsidRPr="00431BA7">
        <w:rPr>
          <w:rFonts w:cstheme="minorHAnsi"/>
          <w:sz w:val="24"/>
          <w:szCs w:val="24"/>
        </w:rPr>
        <w:t xml:space="preserve"> and serves to provide EPA and the public with a regular “snapshot” of chemicals in commerce in the US and their uses and potential exposures</w:t>
      </w:r>
      <w:r w:rsidR="00F53F6C" w:rsidRPr="00431BA7">
        <w:rPr>
          <w:rFonts w:cstheme="minorHAnsi"/>
          <w:sz w:val="24"/>
          <w:szCs w:val="24"/>
        </w:rPr>
        <w:t xml:space="preserve">) as compared to the section 12(b) rule purpose (which is that EPA inform foreign governments of exports of </w:t>
      </w:r>
      <w:r w:rsidR="00300732" w:rsidRPr="00431BA7">
        <w:rPr>
          <w:rFonts w:cstheme="minorHAnsi"/>
          <w:sz w:val="24"/>
          <w:szCs w:val="24"/>
        </w:rPr>
        <w:t xml:space="preserve">and data available on </w:t>
      </w:r>
      <w:r w:rsidR="00F53F6C" w:rsidRPr="00431BA7">
        <w:rPr>
          <w:rFonts w:cstheme="minorHAnsi"/>
          <w:sz w:val="24"/>
          <w:szCs w:val="24"/>
        </w:rPr>
        <w:t>substances for which EPA has identified a risk concern</w:t>
      </w:r>
      <w:r w:rsidR="00E608B2" w:rsidRPr="00431BA7">
        <w:rPr>
          <w:rFonts w:cstheme="minorHAnsi"/>
          <w:sz w:val="24"/>
          <w:szCs w:val="24"/>
        </w:rPr>
        <w:t>)</w:t>
      </w:r>
      <w:r w:rsidR="00F53F6C" w:rsidRPr="00431BA7">
        <w:rPr>
          <w:rFonts w:cstheme="minorHAnsi"/>
          <w:sz w:val="24"/>
          <w:szCs w:val="24"/>
        </w:rPr>
        <w:t>.</w:t>
      </w:r>
    </w:p>
    <w:p w14:paraId="54FB7873" w14:textId="001DA174" w:rsidR="0029081D" w:rsidRPr="00431BA7" w:rsidRDefault="0029081D" w:rsidP="0029081D">
      <w:pPr>
        <w:rPr>
          <w:rFonts w:cstheme="minorHAnsi"/>
          <w:sz w:val="24"/>
          <w:szCs w:val="24"/>
        </w:rPr>
      </w:pPr>
      <w:r w:rsidRPr="00431BA7">
        <w:rPr>
          <w:rFonts w:cstheme="minorHAnsi"/>
          <w:b/>
          <w:bCs/>
          <w:sz w:val="24"/>
          <w:szCs w:val="24"/>
        </w:rPr>
        <w:t>Comment</w:t>
      </w:r>
      <w:r w:rsidRPr="00431BA7">
        <w:rPr>
          <w:rFonts w:cstheme="minorHAnsi"/>
          <w:sz w:val="24"/>
          <w:szCs w:val="24"/>
        </w:rPr>
        <w:t xml:space="preserve">: One commenter was concerned that the provisions of 40 CFR 720.80 would largely be deleted and replaced with a cross reference to </w:t>
      </w:r>
      <w:r w:rsidR="002E701A" w:rsidRPr="00431BA7">
        <w:rPr>
          <w:rFonts w:cstheme="minorHAnsi"/>
          <w:sz w:val="24"/>
          <w:szCs w:val="24"/>
        </w:rPr>
        <w:t>40 CFR</w:t>
      </w:r>
      <w:r w:rsidRPr="00431BA7">
        <w:rPr>
          <w:rFonts w:cstheme="minorHAnsi"/>
          <w:sz w:val="24"/>
          <w:szCs w:val="24"/>
        </w:rPr>
        <w:t xml:space="preserve"> 703.</w:t>
      </w:r>
    </w:p>
    <w:p w14:paraId="7C4834AB" w14:textId="2F6F4303" w:rsidR="00837FD5" w:rsidRPr="00431BA7" w:rsidRDefault="00837FD5" w:rsidP="0029081D">
      <w:pPr>
        <w:rPr>
          <w:rFonts w:cstheme="minorHAnsi"/>
          <w:sz w:val="24"/>
          <w:szCs w:val="24"/>
        </w:rPr>
      </w:pPr>
      <w:r w:rsidRPr="00431BA7">
        <w:rPr>
          <w:rFonts w:cstheme="minorHAnsi"/>
          <w:sz w:val="24"/>
          <w:szCs w:val="24"/>
        </w:rPr>
        <w:t>Source: -0050</w:t>
      </w:r>
    </w:p>
    <w:p w14:paraId="4E48C6B7" w14:textId="0BC7A161" w:rsidR="0029081D" w:rsidRPr="00431BA7" w:rsidRDefault="0029081D" w:rsidP="0029081D">
      <w:pPr>
        <w:rPr>
          <w:rFonts w:cstheme="minorHAnsi"/>
          <w:sz w:val="24"/>
          <w:szCs w:val="24"/>
        </w:rPr>
      </w:pPr>
      <w:r w:rsidRPr="00431BA7">
        <w:rPr>
          <w:rFonts w:cstheme="minorHAnsi"/>
          <w:b/>
          <w:bCs/>
          <w:sz w:val="24"/>
          <w:szCs w:val="24"/>
        </w:rPr>
        <w:t>Response</w:t>
      </w:r>
      <w:r w:rsidRPr="00431BA7">
        <w:rPr>
          <w:rFonts w:cstheme="minorHAnsi"/>
          <w:sz w:val="24"/>
          <w:szCs w:val="24"/>
        </w:rPr>
        <w:t xml:space="preserve">:  The provisions of 40 CFR 720.80 are fully replaced by provisions in </w:t>
      </w:r>
      <w:r w:rsidR="002E701A" w:rsidRPr="00431BA7">
        <w:rPr>
          <w:rFonts w:cstheme="minorHAnsi"/>
          <w:sz w:val="24"/>
          <w:szCs w:val="24"/>
        </w:rPr>
        <w:t>40 CFR</w:t>
      </w:r>
      <w:r w:rsidRPr="00431BA7">
        <w:rPr>
          <w:rFonts w:cstheme="minorHAnsi"/>
          <w:sz w:val="24"/>
          <w:szCs w:val="24"/>
        </w:rPr>
        <w:t xml:space="preserve"> 703, so retaining</w:t>
      </w:r>
      <w:r w:rsidR="002E701A" w:rsidRPr="00431BA7">
        <w:rPr>
          <w:rFonts w:cstheme="minorHAnsi"/>
          <w:sz w:val="24"/>
          <w:szCs w:val="24"/>
        </w:rPr>
        <w:t xml:space="preserve"> 40 CFR</w:t>
      </w:r>
      <w:r w:rsidRPr="00431BA7">
        <w:rPr>
          <w:rFonts w:cstheme="minorHAnsi"/>
          <w:sz w:val="24"/>
          <w:szCs w:val="24"/>
        </w:rPr>
        <w:t xml:space="preserve"> 720.80 would be redundant with</w:t>
      </w:r>
      <w:r w:rsidR="002E701A" w:rsidRPr="00431BA7">
        <w:rPr>
          <w:rFonts w:cstheme="minorHAnsi"/>
          <w:sz w:val="24"/>
          <w:szCs w:val="24"/>
        </w:rPr>
        <w:t xml:space="preserve"> 40 CFR</w:t>
      </w:r>
      <w:r w:rsidRPr="00431BA7">
        <w:rPr>
          <w:rFonts w:cstheme="minorHAnsi"/>
          <w:sz w:val="24"/>
          <w:szCs w:val="24"/>
        </w:rPr>
        <w:t xml:space="preserve"> 703.</w:t>
      </w:r>
    </w:p>
    <w:p w14:paraId="05CE211D" w14:textId="0486CF99" w:rsidR="000E78CA" w:rsidRPr="00431BA7" w:rsidRDefault="000E78CA" w:rsidP="00204FD8">
      <w:pPr>
        <w:rPr>
          <w:rFonts w:cstheme="minorHAnsi"/>
          <w:sz w:val="24"/>
          <w:szCs w:val="24"/>
        </w:rPr>
      </w:pPr>
      <w:bookmarkStart w:id="34" w:name="_Hlk121483376"/>
      <w:r w:rsidRPr="00431BA7">
        <w:rPr>
          <w:rFonts w:cstheme="minorHAnsi"/>
          <w:b/>
          <w:bCs/>
          <w:sz w:val="24"/>
          <w:szCs w:val="24"/>
        </w:rPr>
        <w:t xml:space="preserve">Comment: </w:t>
      </w:r>
      <w:r w:rsidRPr="00431BA7">
        <w:rPr>
          <w:rFonts w:cstheme="minorHAnsi"/>
          <w:sz w:val="24"/>
          <w:szCs w:val="24"/>
        </w:rPr>
        <w:t>One commenter favored retaining the existing provisions of 40 CFR 720.85</w:t>
      </w:r>
      <w:r w:rsidR="003E66AB" w:rsidRPr="00431BA7">
        <w:rPr>
          <w:rFonts w:cstheme="minorHAnsi"/>
          <w:sz w:val="24"/>
          <w:szCs w:val="24"/>
        </w:rPr>
        <w:t xml:space="preserve"> (and similar provisions in </w:t>
      </w:r>
      <w:r w:rsidR="002E701A" w:rsidRPr="00431BA7">
        <w:rPr>
          <w:rFonts w:cstheme="minorHAnsi"/>
          <w:sz w:val="24"/>
          <w:szCs w:val="24"/>
        </w:rPr>
        <w:t xml:space="preserve">40 CFR </w:t>
      </w:r>
      <w:r w:rsidR="003E66AB" w:rsidRPr="00431BA7">
        <w:rPr>
          <w:rFonts w:cstheme="minorHAnsi"/>
          <w:sz w:val="24"/>
          <w:szCs w:val="24"/>
        </w:rPr>
        <w:t>725.85)</w:t>
      </w:r>
      <w:r w:rsidRPr="00431BA7">
        <w:rPr>
          <w:rFonts w:cstheme="minorHAnsi"/>
          <w:sz w:val="24"/>
          <w:szCs w:val="24"/>
        </w:rPr>
        <w:t xml:space="preserve">, asserting that </w:t>
      </w:r>
      <w:r w:rsidR="002D2AB0" w:rsidRPr="00431BA7">
        <w:rPr>
          <w:rFonts w:eastAsia="SimSun"/>
          <w:sz w:val="24"/>
          <w:szCs w:val="24"/>
        </w:rPr>
        <w:t xml:space="preserve">necessary statements </w:t>
      </w:r>
      <w:r w:rsidR="006A47FC" w:rsidRPr="00431BA7">
        <w:rPr>
          <w:rFonts w:eastAsia="SimSun"/>
          <w:sz w:val="24"/>
          <w:szCs w:val="24"/>
        </w:rPr>
        <w:t xml:space="preserve">in that part are </w:t>
      </w:r>
      <w:r w:rsidR="002D2AB0" w:rsidRPr="00431BA7">
        <w:rPr>
          <w:rFonts w:eastAsia="SimSun"/>
          <w:sz w:val="24"/>
          <w:szCs w:val="24"/>
        </w:rPr>
        <w:t>not sufficiently duplicated in the final rule</w:t>
      </w:r>
      <w:r w:rsidRPr="00431BA7">
        <w:rPr>
          <w:rFonts w:cstheme="minorHAnsi"/>
          <w:sz w:val="24"/>
          <w:szCs w:val="24"/>
        </w:rPr>
        <w:t>.</w:t>
      </w:r>
    </w:p>
    <w:p w14:paraId="35D487F0" w14:textId="5B225C3E" w:rsidR="00837FD5" w:rsidRPr="00431BA7" w:rsidRDefault="00837FD5" w:rsidP="00204FD8">
      <w:pPr>
        <w:rPr>
          <w:rFonts w:cstheme="minorHAnsi"/>
          <w:sz w:val="24"/>
          <w:szCs w:val="24"/>
        </w:rPr>
      </w:pPr>
      <w:r w:rsidRPr="00431BA7">
        <w:rPr>
          <w:rFonts w:cstheme="minorHAnsi"/>
          <w:sz w:val="24"/>
          <w:szCs w:val="24"/>
        </w:rPr>
        <w:t>Source: -0050</w:t>
      </w:r>
    </w:p>
    <w:p w14:paraId="31BB5A45" w14:textId="04BFE8C3" w:rsidR="000E78CA" w:rsidRPr="00431BA7" w:rsidRDefault="00060C02" w:rsidP="00204FD8">
      <w:pPr>
        <w:rPr>
          <w:rFonts w:cstheme="minorHAnsi"/>
          <w:sz w:val="24"/>
          <w:szCs w:val="24"/>
        </w:rPr>
      </w:pPr>
      <w:r w:rsidRPr="00431BA7">
        <w:rPr>
          <w:rFonts w:cstheme="minorHAnsi"/>
          <w:b/>
          <w:bCs/>
          <w:sz w:val="24"/>
          <w:szCs w:val="24"/>
        </w:rPr>
        <w:t>Response</w:t>
      </w:r>
      <w:r w:rsidR="000E78CA" w:rsidRPr="00431BA7">
        <w:rPr>
          <w:rFonts w:cstheme="minorHAnsi"/>
          <w:sz w:val="24"/>
          <w:szCs w:val="24"/>
        </w:rPr>
        <w:t xml:space="preserve">: EPA disagrees with this comment.  </w:t>
      </w:r>
      <w:r w:rsidR="006A47FC" w:rsidRPr="00431BA7">
        <w:rPr>
          <w:rFonts w:cstheme="minorHAnsi"/>
          <w:sz w:val="24"/>
          <w:szCs w:val="24"/>
        </w:rPr>
        <w:t xml:space="preserve">40 CFR </w:t>
      </w:r>
      <w:r w:rsidR="000E78CA" w:rsidRPr="00431BA7">
        <w:rPr>
          <w:rFonts w:cstheme="minorHAnsi"/>
          <w:sz w:val="24"/>
          <w:szCs w:val="24"/>
        </w:rPr>
        <w:t>720.85(a)</w:t>
      </w:r>
      <w:r w:rsidR="003E66AB" w:rsidRPr="00431BA7">
        <w:rPr>
          <w:rFonts w:cstheme="minorHAnsi"/>
          <w:sz w:val="24"/>
          <w:szCs w:val="24"/>
        </w:rPr>
        <w:t xml:space="preserve"> (and 725.85)</w:t>
      </w:r>
      <w:r w:rsidR="000E78CA" w:rsidRPr="00431BA7">
        <w:rPr>
          <w:rFonts w:cstheme="minorHAnsi"/>
          <w:sz w:val="24"/>
          <w:szCs w:val="24"/>
        </w:rPr>
        <w:t xml:space="preserve"> is </w:t>
      </w:r>
      <w:r w:rsidR="000855AE" w:rsidRPr="00431BA7">
        <w:rPr>
          <w:rFonts w:cstheme="minorHAnsi"/>
          <w:sz w:val="24"/>
          <w:szCs w:val="24"/>
        </w:rPr>
        <w:t xml:space="preserve">mostly </w:t>
      </w:r>
      <w:r w:rsidR="000E78CA" w:rsidRPr="00431BA7">
        <w:rPr>
          <w:rFonts w:cstheme="minorHAnsi"/>
          <w:sz w:val="24"/>
          <w:szCs w:val="24"/>
        </w:rPr>
        <w:t>redundant with TSCA section 14</w:t>
      </w:r>
      <w:r w:rsidR="000855AE" w:rsidRPr="00431BA7">
        <w:rPr>
          <w:rFonts w:cstheme="minorHAnsi"/>
          <w:sz w:val="24"/>
          <w:szCs w:val="24"/>
        </w:rPr>
        <w:t xml:space="preserve">, the </w:t>
      </w:r>
      <w:r w:rsidR="003810AF" w:rsidRPr="00431BA7">
        <w:rPr>
          <w:rFonts w:cstheme="minorHAnsi"/>
          <w:sz w:val="24"/>
          <w:szCs w:val="24"/>
        </w:rPr>
        <w:t xml:space="preserve">final </w:t>
      </w:r>
      <w:r w:rsidR="000855AE" w:rsidRPr="00431BA7">
        <w:rPr>
          <w:rFonts w:cstheme="minorHAnsi"/>
          <w:sz w:val="24"/>
          <w:szCs w:val="24"/>
        </w:rPr>
        <w:t>rule, or both</w:t>
      </w:r>
      <w:r w:rsidR="002D2AB0" w:rsidRPr="00431BA7">
        <w:rPr>
          <w:rFonts w:cstheme="minorHAnsi"/>
          <w:sz w:val="24"/>
          <w:szCs w:val="24"/>
        </w:rPr>
        <w:t xml:space="preserve">.  The commenter argues that the </w:t>
      </w:r>
      <w:r w:rsidR="002D2AB0" w:rsidRPr="00431BA7">
        <w:rPr>
          <w:rFonts w:cstheme="minorHAnsi"/>
          <w:sz w:val="24"/>
          <w:szCs w:val="24"/>
        </w:rPr>
        <w:lastRenderedPageBreak/>
        <w:t xml:space="preserve">statement in </w:t>
      </w:r>
      <w:r w:rsidR="006A47FC" w:rsidRPr="00431BA7">
        <w:rPr>
          <w:rFonts w:cstheme="minorHAnsi"/>
          <w:sz w:val="24"/>
          <w:szCs w:val="24"/>
        </w:rPr>
        <w:t xml:space="preserve">40 CFR </w:t>
      </w:r>
      <w:r w:rsidR="002D2AB0" w:rsidRPr="00431BA7">
        <w:rPr>
          <w:rFonts w:cstheme="minorHAnsi"/>
          <w:sz w:val="24"/>
          <w:szCs w:val="24"/>
        </w:rPr>
        <w:t xml:space="preserve">720.85(a)(1)(i), “A person who submits information to EPA under this part may assert a claim of confidentiality for the chemical identity of the new chemical substance. This claim will apply only to the period prior to the commencement of manufacture or import for commercial purposes” should be retained.  The commenter asserts that “40 C.F.R. § 703.5(b)(5)(ii)(A) [] incorrectly states that if the claim was made prior to </w:t>
      </w:r>
      <w:proofErr w:type="gramStart"/>
      <w:r w:rsidR="002D2AB0" w:rsidRPr="00431BA7">
        <w:rPr>
          <w:rFonts w:cstheme="minorHAnsi"/>
          <w:sz w:val="24"/>
          <w:szCs w:val="24"/>
        </w:rPr>
        <w:t>commercialization</w:t>
      </w:r>
      <w:proofErr w:type="gramEnd"/>
      <w:r w:rsidR="002D2AB0" w:rsidRPr="00431BA7">
        <w:rPr>
          <w:rFonts w:cstheme="minorHAnsi"/>
          <w:sz w:val="24"/>
          <w:szCs w:val="24"/>
        </w:rPr>
        <w:t xml:space="preserve"> it applies even after commercialization</w:t>
      </w:r>
      <w:r w:rsidR="00F85888" w:rsidRPr="00431BA7">
        <w:rPr>
          <w:rFonts w:cstheme="minorHAnsi"/>
          <w:sz w:val="24"/>
          <w:szCs w:val="24"/>
        </w:rPr>
        <w:t>.</w:t>
      </w:r>
      <w:r w:rsidR="002D2AB0" w:rsidRPr="00431BA7">
        <w:rPr>
          <w:rFonts w:cstheme="minorHAnsi"/>
          <w:sz w:val="24"/>
          <w:szCs w:val="24"/>
        </w:rPr>
        <w:t>”</w:t>
      </w:r>
      <w:r w:rsidR="00F85888" w:rsidRPr="00431BA7">
        <w:rPr>
          <w:rFonts w:cstheme="minorHAnsi"/>
          <w:sz w:val="24"/>
          <w:szCs w:val="24"/>
        </w:rPr>
        <w:t xml:space="preserve">  The commenter appears to misunderstand the meaning of the cited statement in </w:t>
      </w:r>
      <w:r w:rsidR="006A47FC" w:rsidRPr="00431BA7">
        <w:rPr>
          <w:rFonts w:cstheme="minorHAnsi"/>
          <w:sz w:val="24"/>
          <w:szCs w:val="24"/>
        </w:rPr>
        <w:t xml:space="preserve">40 CFR </w:t>
      </w:r>
      <w:r w:rsidR="00F85888" w:rsidRPr="00431BA7">
        <w:rPr>
          <w:rFonts w:cstheme="minorHAnsi"/>
          <w:sz w:val="24"/>
          <w:szCs w:val="24"/>
        </w:rPr>
        <w:t>720.85, which is not a means of making an event-limited claim that automatically expires upon NOC.  Rather, the older provision is that the pre-NOC claim lasts only until NOC, at which point the claim may be reasserted</w:t>
      </w:r>
      <w:r w:rsidR="00B02AB9" w:rsidRPr="00431BA7">
        <w:rPr>
          <w:rFonts w:cstheme="minorHAnsi"/>
          <w:sz w:val="24"/>
          <w:szCs w:val="24"/>
        </w:rPr>
        <w:t xml:space="preserve">, and must be </w:t>
      </w:r>
      <w:r w:rsidR="006A47FC" w:rsidRPr="00431BA7">
        <w:rPr>
          <w:rFonts w:cstheme="minorHAnsi"/>
          <w:sz w:val="24"/>
          <w:szCs w:val="24"/>
        </w:rPr>
        <w:t>re</w:t>
      </w:r>
      <w:r w:rsidR="00B02AB9" w:rsidRPr="00431BA7">
        <w:rPr>
          <w:rFonts w:cstheme="minorHAnsi"/>
          <w:sz w:val="24"/>
          <w:szCs w:val="24"/>
        </w:rPr>
        <w:t>asserted for the chemical identity to remain confidential</w:t>
      </w:r>
      <w:r w:rsidR="00F85888" w:rsidRPr="00431BA7">
        <w:rPr>
          <w:rFonts w:cstheme="minorHAnsi"/>
          <w:sz w:val="24"/>
          <w:szCs w:val="24"/>
        </w:rPr>
        <w:t>.  If the claim is not reasserted, the chemical identity claimed as CBI in the PMN is automatically disclosed in the non-CBI NOC</w:t>
      </w:r>
      <w:r w:rsidR="00E65444" w:rsidRPr="00431BA7">
        <w:rPr>
          <w:rFonts w:cstheme="minorHAnsi"/>
          <w:sz w:val="24"/>
          <w:szCs w:val="24"/>
        </w:rPr>
        <w:t xml:space="preserve"> data</w:t>
      </w:r>
      <w:r w:rsidR="00B02AB9" w:rsidRPr="00431BA7">
        <w:rPr>
          <w:rFonts w:cstheme="minorHAnsi"/>
          <w:sz w:val="24"/>
          <w:szCs w:val="24"/>
        </w:rPr>
        <w:t>, which may be readily connected to the PMN</w:t>
      </w:r>
      <w:r w:rsidR="00F85888" w:rsidRPr="00431BA7">
        <w:rPr>
          <w:rFonts w:cstheme="minorHAnsi"/>
          <w:sz w:val="24"/>
          <w:szCs w:val="24"/>
        </w:rPr>
        <w:t xml:space="preserve">.  If the claim is reasserted and approved, the same information in the PMN remains protected from disclosure.  The provision in the final rule </w:t>
      </w:r>
      <w:r w:rsidR="00B02AB9" w:rsidRPr="00431BA7">
        <w:rPr>
          <w:rFonts w:cstheme="minorHAnsi"/>
          <w:sz w:val="24"/>
          <w:szCs w:val="24"/>
        </w:rPr>
        <w:t xml:space="preserve">at </w:t>
      </w:r>
      <w:r w:rsidR="006A47FC" w:rsidRPr="00431BA7">
        <w:rPr>
          <w:rFonts w:cstheme="minorHAnsi"/>
          <w:sz w:val="24"/>
          <w:szCs w:val="24"/>
        </w:rPr>
        <w:t xml:space="preserve">40 CFR </w:t>
      </w:r>
      <w:r w:rsidR="00F85888" w:rsidRPr="00431BA7">
        <w:rPr>
          <w:rFonts w:cstheme="minorHAnsi"/>
          <w:sz w:val="24"/>
          <w:szCs w:val="24"/>
        </w:rPr>
        <w:t xml:space="preserve">703.5(b)(5)(ii)(A) is a simple restatement of the substantiation exemption in TSCA section 14(c)(2)(G) for CBI claims made prior to the point that the chemical </w:t>
      </w:r>
      <w:r w:rsidR="00B02AB9" w:rsidRPr="00431BA7">
        <w:rPr>
          <w:rFonts w:cstheme="minorHAnsi"/>
          <w:sz w:val="24"/>
          <w:szCs w:val="24"/>
        </w:rPr>
        <w:t xml:space="preserve">is offered for commercial distribution.  There is nothing in TSCA to suggest that such claims and corresponding CBI treatment automatically expire at the occurrence of a certain event—rather, the exemption is inapplicable to </w:t>
      </w:r>
      <w:r w:rsidR="00B02AB9" w:rsidRPr="00431BA7">
        <w:rPr>
          <w:rFonts w:cstheme="minorHAnsi"/>
          <w:i/>
          <w:iCs/>
          <w:sz w:val="24"/>
          <w:szCs w:val="24"/>
        </w:rPr>
        <w:t>claims made after</w:t>
      </w:r>
      <w:r w:rsidR="00B02AB9" w:rsidRPr="00431BA7">
        <w:rPr>
          <w:rFonts w:cstheme="minorHAnsi"/>
          <w:sz w:val="24"/>
          <w:szCs w:val="24"/>
        </w:rPr>
        <w:t xml:space="preserve"> the chemical is offered for distribution in commerce, and if the claim is revisited in the future, consistent with section 14(f), the exemption also no longer applies.</w:t>
      </w:r>
    </w:p>
    <w:p w14:paraId="173EACA4" w14:textId="229E2945" w:rsidR="00B02AB9" w:rsidRPr="00431BA7" w:rsidRDefault="00B02AB9" w:rsidP="00204FD8">
      <w:pPr>
        <w:rPr>
          <w:rFonts w:cstheme="minorHAnsi"/>
          <w:sz w:val="24"/>
          <w:szCs w:val="24"/>
        </w:rPr>
      </w:pPr>
      <w:r w:rsidRPr="00431BA7">
        <w:rPr>
          <w:rFonts w:cstheme="minorHAnsi"/>
          <w:sz w:val="24"/>
          <w:szCs w:val="24"/>
        </w:rPr>
        <w:t>The commenter also takes issue with the omission of a further statement in this section, “A submitter may assert this claim only if the submitter believes that public disclosure prior to commencement of manufacture or import of the fact that anyone intends to manufacture or import the specific chemical substance for commercial purposes would reveal confidential business information</w:t>
      </w:r>
      <w:r w:rsidR="0056462D" w:rsidRPr="00431BA7">
        <w:rPr>
          <w:rFonts w:cstheme="minorHAnsi"/>
          <w:sz w:val="24"/>
          <w:szCs w:val="24"/>
        </w:rPr>
        <w:t>.</w:t>
      </w:r>
      <w:r w:rsidRPr="00431BA7">
        <w:rPr>
          <w:rFonts w:cstheme="minorHAnsi"/>
          <w:sz w:val="24"/>
          <w:szCs w:val="24"/>
        </w:rPr>
        <w:t>”</w:t>
      </w:r>
      <w:r w:rsidR="0056462D" w:rsidRPr="00431BA7">
        <w:rPr>
          <w:rFonts w:cstheme="minorHAnsi"/>
          <w:sz w:val="24"/>
          <w:szCs w:val="24"/>
        </w:rPr>
        <w:t xml:space="preserve">  The substance of this statement is covered by the certification statement required by TSCA section 14(c)(1)(B) and included in every section 5 submission that includes any CBI claim.  In fact, beyond certifying that disclosure of intent to manufacture would reveal CBI, the section 14(c)(1)(B) certification requires that the submitter certify </w:t>
      </w:r>
      <w:proofErr w:type="gramStart"/>
      <w:r w:rsidR="0056462D" w:rsidRPr="00431BA7">
        <w:rPr>
          <w:rFonts w:cstheme="minorHAnsi"/>
          <w:sz w:val="24"/>
          <w:szCs w:val="24"/>
        </w:rPr>
        <w:t>to  having</w:t>
      </w:r>
      <w:proofErr w:type="gramEnd"/>
      <w:r w:rsidR="0056462D" w:rsidRPr="00431BA7">
        <w:rPr>
          <w:rFonts w:cstheme="minorHAnsi"/>
          <w:sz w:val="24"/>
          <w:szCs w:val="24"/>
        </w:rPr>
        <w:t xml:space="preserve"> taken reasonable measures to protect confidentiality and that they have a reasonable basis to believe that disclosure would cause substantial competitive harm, among other things. </w:t>
      </w:r>
    </w:p>
    <w:p w14:paraId="28A1F191" w14:textId="00DC5E58" w:rsidR="003810AF" w:rsidRPr="00431BA7" w:rsidRDefault="003810AF" w:rsidP="00204FD8">
      <w:pPr>
        <w:rPr>
          <w:rFonts w:cstheme="minorHAnsi"/>
          <w:sz w:val="24"/>
          <w:szCs w:val="24"/>
        </w:rPr>
      </w:pPr>
      <w:r w:rsidRPr="00431BA7">
        <w:rPr>
          <w:rFonts w:cstheme="minorHAnsi"/>
          <w:sz w:val="24"/>
          <w:szCs w:val="24"/>
        </w:rPr>
        <w:t xml:space="preserve">The commenter also argued that </w:t>
      </w:r>
      <w:r w:rsidR="006A47FC" w:rsidRPr="00431BA7">
        <w:rPr>
          <w:rFonts w:cstheme="minorHAnsi"/>
          <w:sz w:val="24"/>
          <w:szCs w:val="24"/>
        </w:rPr>
        <w:t xml:space="preserve">40 CFR </w:t>
      </w:r>
      <w:r w:rsidRPr="00431BA7">
        <w:rPr>
          <w:rFonts w:cstheme="minorHAnsi"/>
          <w:sz w:val="24"/>
          <w:szCs w:val="24"/>
        </w:rPr>
        <w:t xml:space="preserve">720.85(a) references to generic name are also “weaker” in the corresponding sections of the final rule.  EPA disagrees with these comments and notes that the final rule provisions on generic name include references to TSCA section 14-required guidance and the statutory language concerning generic names, especially that they must be structurally as specific as practicable while protecting features claimed as confidential and disclosure of which is likely to cause substantial competitive harm.  EPA disagrees that these statutory standards are actually weaker than the pre-Lautenberg language in </w:t>
      </w:r>
      <w:r w:rsidR="006A47FC" w:rsidRPr="00431BA7">
        <w:rPr>
          <w:rFonts w:cstheme="minorHAnsi"/>
          <w:sz w:val="24"/>
          <w:szCs w:val="24"/>
        </w:rPr>
        <w:t xml:space="preserve">40 CFR </w:t>
      </w:r>
      <w:r w:rsidRPr="00431BA7">
        <w:rPr>
          <w:rFonts w:cstheme="minorHAnsi"/>
          <w:sz w:val="24"/>
          <w:szCs w:val="24"/>
        </w:rPr>
        <w:t xml:space="preserve">720.85(a) and that there is a practical, enforceable difference between a generic name that is </w:t>
      </w:r>
      <w:r w:rsidR="003E66AB" w:rsidRPr="00431BA7">
        <w:rPr>
          <w:rFonts w:cstheme="minorHAnsi"/>
          <w:sz w:val="24"/>
          <w:szCs w:val="24"/>
        </w:rPr>
        <w:t xml:space="preserve">“only as generic as necessary to protect the confidential chemical identity of the new chemical substance [and that] </w:t>
      </w:r>
      <w:r w:rsidR="003E66AB" w:rsidRPr="00431BA7">
        <w:rPr>
          <w:rFonts w:cstheme="minorHAnsi"/>
          <w:i/>
          <w:iCs/>
          <w:sz w:val="24"/>
          <w:szCs w:val="24"/>
        </w:rPr>
        <w:t>should</w:t>
      </w:r>
      <w:r w:rsidR="003E66AB" w:rsidRPr="00431BA7">
        <w:rPr>
          <w:rFonts w:cstheme="minorHAnsi"/>
          <w:sz w:val="24"/>
          <w:szCs w:val="24"/>
        </w:rPr>
        <w:t xml:space="preserve"> reveal the chemical identity of the substance to the maximum </w:t>
      </w:r>
      <w:r w:rsidR="003E66AB" w:rsidRPr="00431BA7">
        <w:rPr>
          <w:rFonts w:cstheme="minorHAnsi"/>
          <w:sz w:val="24"/>
          <w:szCs w:val="24"/>
        </w:rPr>
        <w:lastRenderedPageBreak/>
        <w:t xml:space="preserve">extent possible,” and a generic </w:t>
      </w:r>
      <w:r w:rsidR="002B2BEF" w:rsidRPr="00431BA7">
        <w:rPr>
          <w:rFonts w:cstheme="minorHAnsi"/>
          <w:sz w:val="24"/>
          <w:szCs w:val="24"/>
        </w:rPr>
        <w:t xml:space="preserve">name </w:t>
      </w:r>
      <w:r w:rsidR="003E66AB" w:rsidRPr="00431BA7">
        <w:rPr>
          <w:rFonts w:cstheme="minorHAnsi"/>
          <w:sz w:val="24"/>
          <w:szCs w:val="24"/>
        </w:rPr>
        <w:t>that “[d]escribe[s] the chemical structure of the chemical substance as specifically as practicable while protecting only those features of the chemical structure that are claimed as confidential and disclosure of which would likely cause substantial harm to the competitive position of the person”</w:t>
      </w:r>
      <w:r w:rsidR="006A47FC" w:rsidRPr="00431BA7">
        <w:rPr>
          <w:rFonts w:cstheme="minorHAnsi"/>
          <w:sz w:val="24"/>
          <w:szCs w:val="24"/>
        </w:rPr>
        <w:t xml:space="preserve"> (emphasis added). </w:t>
      </w:r>
      <w:r w:rsidRPr="00431BA7">
        <w:rPr>
          <w:rFonts w:cstheme="minorHAnsi"/>
          <w:sz w:val="24"/>
          <w:szCs w:val="24"/>
        </w:rPr>
        <w:t xml:space="preserve"> The final rule requires submission of a generic name consistent with TSCA section 14(c).  Persons who would like to consult EPA concerning an appropriate generic name may continue to do so through the pre-notice consultation process.  </w:t>
      </w:r>
      <w:r w:rsidR="002B2BEF" w:rsidRPr="00431BA7">
        <w:rPr>
          <w:rFonts w:cstheme="minorHAnsi"/>
          <w:i/>
          <w:iCs/>
          <w:sz w:val="24"/>
          <w:szCs w:val="24"/>
        </w:rPr>
        <w:t>See</w:t>
      </w:r>
      <w:r w:rsidR="002B2BEF" w:rsidRPr="00431BA7">
        <w:rPr>
          <w:rFonts w:cstheme="minorHAnsi"/>
          <w:sz w:val="24"/>
          <w:szCs w:val="24"/>
        </w:rPr>
        <w:t xml:space="preserve"> </w:t>
      </w:r>
      <w:r w:rsidRPr="00431BA7">
        <w:rPr>
          <w:rFonts w:cstheme="minorHAnsi"/>
          <w:sz w:val="24"/>
          <w:szCs w:val="24"/>
        </w:rPr>
        <w:t>https://www.epa.gov/reviewing-new-chemicals-under-toxic-substances-control-act-tsca/filing-pre-manufacture-notice-epa#pre-notice</w:t>
      </w:r>
      <w:r w:rsidR="002B2BEF" w:rsidRPr="00431BA7">
        <w:rPr>
          <w:rFonts w:cstheme="minorHAnsi"/>
          <w:sz w:val="24"/>
          <w:szCs w:val="24"/>
        </w:rPr>
        <w:t>.</w:t>
      </w:r>
    </w:p>
    <w:p w14:paraId="6ED12D93" w14:textId="6EC7B310" w:rsidR="00923AB8" w:rsidRPr="00431BA7" w:rsidRDefault="4F3EBD9C" w:rsidP="00204FD8">
      <w:pPr>
        <w:rPr>
          <w:rFonts w:cstheme="minorHAnsi"/>
          <w:sz w:val="24"/>
          <w:szCs w:val="24"/>
        </w:rPr>
      </w:pPr>
      <w:r w:rsidRPr="00431BA7">
        <w:rPr>
          <w:rFonts w:cstheme="minorHAnsi"/>
          <w:sz w:val="24"/>
          <w:szCs w:val="24"/>
        </w:rPr>
        <w:t xml:space="preserve">Much of </w:t>
      </w:r>
      <w:r w:rsidR="006A47FC" w:rsidRPr="00431BA7">
        <w:rPr>
          <w:rFonts w:cstheme="minorHAnsi"/>
          <w:sz w:val="24"/>
          <w:szCs w:val="24"/>
        </w:rPr>
        <w:t xml:space="preserve">40 CFR </w:t>
      </w:r>
      <w:r w:rsidRPr="00431BA7">
        <w:rPr>
          <w:rFonts w:cstheme="minorHAnsi"/>
          <w:sz w:val="24"/>
          <w:szCs w:val="24"/>
        </w:rPr>
        <w:t xml:space="preserve">720.85(b) is retained in the </w:t>
      </w:r>
      <w:r w:rsidR="00F7541C" w:rsidRPr="00431BA7">
        <w:rPr>
          <w:rFonts w:cstheme="minorHAnsi"/>
          <w:sz w:val="24"/>
          <w:szCs w:val="24"/>
        </w:rPr>
        <w:t xml:space="preserve">final </w:t>
      </w:r>
      <w:r w:rsidRPr="00431BA7">
        <w:rPr>
          <w:rFonts w:cstheme="minorHAnsi"/>
          <w:sz w:val="24"/>
          <w:szCs w:val="24"/>
        </w:rPr>
        <w:t xml:space="preserve">rule, but moved to </w:t>
      </w:r>
      <w:r w:rsidR="006A47FC" w:rsidRPr="00431BA7">
        <w:rPr>
          <w:rFonts w:cstheme="minorHAnsi"/>
          <w:sz w:val="24"/>
          <w:szCs w:val="24"/>
        </w:rPr>
        <w:t xml:space="preserve">40 CFR </w:t>
      </w:r>
      <w:r w:rsidRPr="00431BA7">
        <w:rPr>
          <w:rFonts w:cstheme="minorHAnsi"/>
          <w:sz w:val="24"/>
          <w:szCs w:val="24"/>
        </w:rPr>
        <w:t xml:space="preserve">720.102, while the substantiation provisions are replaced with the substantiation provisions in </w:t>
      </w:r>
      <w:r w:rsidR="006A47FC" w:rsidRPr="00431BA7">
        <w:rPr>
          <w:rFonts w:cstheme="minorHAnsi"/>
          <w:sz w:val="24"/>
          <w:szCs w:val="24"/>
        </w:rPr>
        <w:t xml:space="preserve">40 CFR </w:t>
      </w:r>
      <w:r w:rsidRPr="00431BA7">
        <w:rPr>
          <w:rFonts w:cstheme="minorHAnsi"/>
          <w:sz w:val="24"/>
          <w:szCs w:val="24"/>
        </w:rPr>
        <w:t xml:space="preserve">703.  The provision that requires that CBI claims for chemical identity must be asserted in the PMN </w:t>
      </w:r>
      <w:proofErr w:type="gramStart"/>
      <w:r w:rsidRPr="00431BA7">
        <w:rPr>
          <w:rFonts w:cstheme="minorHAnsi"/>
          <w:sz w:val="24"/>
          <w:szCs w:val="24"/>
        </w:rPr>
        <w:t>in order to</w:t>
      </w:r>
      <w:proofErr w:type="gramEnd"/>
      <w:r w:rsidRPr="00431BA7">
        <w:rPr>
          <w:rFonts w:cstheme="minorHAnsi"/>
          <w:sz w:val="24"/>
          <w:szCs w:val="24"/>
        </w:rPr>
        <w:t xml:space="preserve"> be asserted in the </w:t>
      </w:r>
      <w:r w:rsidR="30BE86C8" w:rsidRPr="00431BA7">
        <w:rPr>
          <w:rFonts w:cstheme="minorHAnsi"/>
          <w:sz w:val="24"/>
          <w:szCs w:val="24"/>
        </w:rPr>
        <w:t>NOC</w:t>
      </w:r>
      <w:r w:rsidRPr="00431BA7">
        <w:rPr>
          <w:rFonts w:cstheme="minorHAnsi"/>
          <w:sz w:val="24"/>
          <w:szCs w:val="24"/>
        </w:rPr>
        <w:t xml:space="preserve"> are not necessary</w:t>
      </w:r>
      <w:r w:rsidR="00D42E64" w:rsidRPr="00431BA7">
        <w:rPr>
          <w:rFonts w:cstheme="minorHAnsi"/>
          <w:sz w:val="24"/>
          <w:szCs w:val="24"/>
        </w:rPr>
        <w:t>:</w:t>
      </w:r>
      <w:r w:rsidRPr="00431BA7">
        <w:rPr>
          <w:rFonts w:cstheme="minorHAnsi"/>
          <w:sz w:val="24"/>
          <w:szCs w:val="24"/>
        </w:rPr>
        <w:t xml:space="preserve"> </w:t>
      </w:r>
      <w:r w:rsidR="00D42E64" w:rsidRPr="00431BA7">
        <w:rPr>
          <w:rFonts w:cstheme="minorHAnsi"/>
          <w:sz w:val="24"/>
          <w:szCs w:val="24"/>
        </w:rPr>
        <w:t>i</w:t>
      </w:r>
      <w:r w:rsidRPr="00431BA7">
        <w:rPr>
          <w:rFonts w:cstheme="minorHAnsi"/>
          <w:sz w:val="24"/>
          <w:szCs w:val="24"/>
        </w:rPr>
        <w:t xml:space="preserve">f the chemical identity is not claimed </w:t>
      </w:r>
      <w:r w:rsidR="30BE86C8" w:rsidRPr="00431BA7">
        <w:rPr>
          <w:rFonts w:cstheme="minorHAnsi"/>
          <w:sz w:val="24"/>
          <w:szCs w:val="24"/>
        </w:rPr>
        <w:t xml:space="preserve">as </w:t>
      </w:r>
      <w:r w:rsidRPr="00431BA7">
        <w:rPr>
          <w:rFonts w:cstheme="minorHAnsi"/>
          <w:sz w:val="24"/>
          <w:szCs w:val="24"/>
        </w:rPr>
        <w:t xml:space="preserve">CBI in the PMN, the chemical identity will be published in the </w:t>
      </w:r>
      <w:r w:rsidR="30BE86C8" w:rsidRPr="00431BA7">
        <w:rPr>
          <w:rFonts w:cstheme="minorHAnsi"/>
          <w:sz w:val="24"/>
          <w:szCs w:val="24"/>
        </w:rPr>
        <w:t xml:space="preserve">public </w:t>
      </w:r>
      <w:r w:rsidRPr="00431BA7">
        <w:rPr>
          <w:rFonts w:cstheme="minorHAnsi"/>
          <w:sz w:val="24"/>
          <w:szCs w:val="24"/>
        </w:rPr>
        <w:t>notice required by section 5(d)</w:t>
      </w:r>
      <w:r w:rsidR="30BE86C8" w:rsidRPr="00431BA7">
        <w:rPr>
          <w:rFonts w:cstheme="minorHAnsi"/>
          <w:sz w:val="24"/>
          <w:szCs w:val="24"/>
        </w:rPr>
        <w:t>(2)</w:t>
      </w:r>
      <w:r w:rsidRPr="00431BA7">
        <w:rPr>
          <w:rFonts w:cstheme="minorHAnsi"/>
          <w:sz w:val="24"/>
          <w:szCs w:val="24"/>
        </w:rPr>
        <w:t xml:space="preserve"> of TSCA.  PMNs and NOCs are identified by the same case number, providing a public link between the NOC and the specific identity</w:t>
      </w:r>
      <w:r w:rsidR="30BE86C8" w:rsidRPr="00431BA7">
        <w:rPr>
          <w:rFonts w:cstheme="minorHAnsi"/>
          <w:sz w:val="24"/>
          <w:szCs w:val="24"/>
        </w:rPr>
        <w:t xml:space="preserve">.  Upon examination of the NOC, EPA would not accept a confidentiality claim made for the chemical identity at NOC but not </w:t>
      </w:r>
      <w:r w:rsidR="000A2D61" w:rsidRPr="00431BA7">
        <w:rPr>
          <w:rFonts w:cstheme="minorHAnsi"/>
          <w:sz w:val="24"/>
          <w:szCs w:val="24"/>
        </w:rPr>
        <w:t>in the</w:t>
      </w:r>
      <w:r w:rsidR="30BE86C8" w:rsidRPr="00431BA7">
        <w:rPr>
          <w:rFonts w:cstheme="minorHAnsi"/>
          <w:sz w:val="24"/>
          <w:szCs w:val="24"/>
        </w:rPr>
        <w:t xml:space="preserve"> PMN.  </w:t>
      </w:r>
      <w:r w:rsidR="00D42E64" w:rsidRPr="00431BA7">
        <w:rPr>
          <w:rFonts w:cstheme="minorHAnsi"/>
          <w:sz w:val="24"/>
          <w:szCs w:val="24"/>
        </w:rPr>
        <w:t>Moreover, p</w:t>
      </w:r>
      <w:r w:rsidR="30BE86C8" w:rsidRPr="00431BA7">
        <w:rPr>
          <w:rFonts w:cstheme="minorHAnsi"/>
          <w:sz w:val="24"/>
          <w:szCs w:val="24"/>
        </w:rPr>
        <w:t>er section 14(g) of TSCA, all chemical identity CBI claims are reviewed in NOCs</w:t>
      </w:r>
      <w:r w:rsidR="00D42E64" w:rsidRPr="00431BA7">
        <w:rPr>
          <w:rFonts w:cstheme="minorHAnsi"/>
          <w:sz w:val="24"/>
          <w:szCs w:val="24"/>
        </w:rPr>
        <w:t xml:space="preserve"> and EPA would deny any chemical identity claim made in an NOC that wasn’t also made in the corresponding PMN because of the prior disclosure in the PMN</w:t>
      </w:r>
      <w:r w:rsidR="30BE86C8" w:rsidRPr="00431BA7">
        <w:rPr>
          <w:rFonts w:cstheme="minorHAnsi"/>
          <w:sz w:val="24"/>
          <w:szCs w:val="24"/>
        </w:rPr>
        <w:t>.</w:t>
      </w:r>
    </w:p>
    <w:p w14:paraId="40626C21" w14:textId="61B47DDF" w:rsidR="00440DD6" w:rsidRPr="00431BA7" w:rsidRDefault="00D42E64" w:rsidP="000140FB">
      <w:pPr>
        <w:rPr>
          <w:rFonts w:cstheme="minorHAnsi"/>
          <w:sz w:val="24"/>
          <w:szCs w:val="24"/>
        </w:rPr>
      </w:pPr>
      <w:r w:rsidRPr="00431BA7">
        <w:rPr>
          <w:rFonts w:eastAsia="Times New Roman" w:cstheme="minorHAnsi"/>
          <w:b/>
          <w:bCs/>
          <w:color w:val="000000"/>
          <w:sz w:val="24"/>
          <w:szCs w:val="24"/>
        </w:rPr>
        <w:t>Comment</w:t>
      </w:r>
      <w:r w:rsidRPr="00431BA7">
        <w:rPr>
          <w:rFonts w:eastAsia="Times New Roman" w:cstheme="minorHAnsi"/>
          <w:color w:val="000000"/>
          <w:sz w:val="24"/>
          <w:szCs w:val="24"/>
        </w:rPr>
        <w:t xml:space="preserve">:  One commenter </w:t>
      </w:r>
      <w:r w:rsidR="00844D71" w:rsidRPr="00431BA7">
        <w:rPr>
          <w:rFonts w:eastAsia="Times New Roman" w:cstheme="minorHAnsi"/>
          <w:color w:val="000000"/>
          <w:sz w:val="24"/>
          <w:szCs w:val="24"/>
        </w:rPr>
        <w:t xml:space="preserve">argued that chemical identity claims should not be permitted in health and safety studies at the PMN stage, but that if EPA permits such claims in the PMN, the PMN claim should be </w:t>
      </w:r>
      <w:r w:rsidRPr="00431BA7">
        <w:rPr>
          <w:rFonts w:cstheme="minorHAnsi"/>
          <w:sz w:val="24"/>
          <w:szCs w:val="24"/>
        </w:rPr>
        <w:t xml:space="preserve">re-reviewed when an NOC is </w:t>
      </w:r>
      <w:proofErr w:type="gramStart"/>
      <w:r w:rsidRPr="00431BA7">
        <w:rPr>
          <w:rFonts w:cstheme="minorHAnsi"/>
          <w:sz w:val="24"/>
          <w:szCs w:val="24"/>
        </w:rPr>
        <w:t>filed</w:t>
      </w:r>
      <w:proofErr w:type="gramEnd"/>
      <w:r w:rsidRPr="00431BA7">
        <w:rPr>
          <w:rFonts w:cstheme="minorHAnsi"/>
          <w:sz w:val="24"/>
          <w:szCs w:val="24"/>
        </w:rPr>
        <w:t xml:space="preserve"> and </w:t>
      </w:r>
      <w:r w:rsidR="00844D71" w:rsidRPr="00431BA7">
        <w:rPr>
          <w:rFonts w:cstheme="minorHAnsi"/>
          <w:sz w:val="24"/>
          <w:szCs w:val="24"/>
        </w:rPr>
        <w:t xml:space="preserve">chemical identity should be </w:t>
      </w:r>
      <w:r w:rsidRPr="00431BA7">
        <w:rPr>
          <w:rFonts w:cstheme="minorHAnsi"/>
          <w:sz w:val="24"/>
          <w:szCs w:val="24"/>
        </w:rPr>
        <w:t xml:space="preserve">disclosed.  </w:t>
      </w:r>
    </w:p>
    <w:p w14:paraId="644DCB12" w14:textId="1BD54018" w:rsidR="00837FD5" w:rsidRPr="00431BA7" w:rsidRDefault="00837FD5" w:rsidP="000140FB">
      <w:pPr>
        <w:rPr>
          <w:rFonts w:cstheme="minorHAnsi"/>
          <w:sz w:val="24"/>
          <w:szCs w:val="24"/>
        </w:rPr>
      </w:pPr>
      <w:r w:rsidRPr="00431BA7">
        <w:rPr>
          <w:rFonts w:cstheme="minorHAnsi"/>
          <w:sz w:val="24"/>
          <w:szCs w:val="24"/>
        </w:rPr>
        <w:t>Source: -0050</w:t>
      </w:r>
    </w:p>
    <w:p w14:paraId="5B16F0BC" w14:textId="018DDDE5" w:rsidR="00D42E64" w:rsidRPr="00431BA7" w:rsidRDefault="00060C02" w:rsidP="000140FB">
      <w:pPr>
        <w:rPr>
          <w:rFonts w:eastAsia="Times New Roman" w:cstheme="minorHAnsi"/>
          <w:color w:val="000000"/>
          <w:sz w:val="24"/>
          <w:szCs w:val="24"/>
        </w:rPr>
      </w:pPr>
      <w:r w:rsidRPr="00431BA7">
        <w:rPr>
          <w:rFonts w:eastAsia="Times New Roman" w:cstheme="minorHAnsi"/>
          <w:b/>
          <w:bCs/>
          <w:color w:val="000000"/>
          <w:sz w:val="24"/>
          <w:szCs w:val="24"/>
        </w:rPr>
        <w:t>Response</w:t>
      </w:r>
      <w:r w:rsidR="00D42E64" w:rsidRPr="00431BA7">
        <w:rPr>
          <w:rFonts w:eastAsia="Times New Roman" w:cstheme="minorHAnsi"/>
          <w:color w:val="000000"/>
          <w:sz w:val="24"/>
          <w:szCs w:val="24"/>
        </w:rPr>
        <w:t xml:space="preserve">:  EPA disagrees with this comment.  </w:t>
      </w:r>
      <w:r w:rsidR="00844D71" w:rsidRPr="00431BA7">
        <w:rPr>
          <w:rFonts w:eastAsia="Times New Roman" w:cstheme="minorHAnsi"/>
          <w:color w:val="000000"/>
          <w:sz w:val="24"/>
          <w:szCs w:val="24"/>
        </w:rPr>
        <w:t xml:space="preserve">Chemical identity claims are permitted in the PMN submission including attachments, may be claimed as confidential, and such claims are exempt from upfront substantiation requirements under </w:t>
      </w:r>
      <w:r w:rsidR="00C60A2D" w:rsidRPr="00431BA7">
        <w:rPr>
          <w:rFonts w:eastAsia="Times New Roman" w:cstheme="minorHAnsi"/>
          <w:color w:val="000000"/>
          <w:sz w:val="24"/>
          <w:szCs w:val="24"/>
        </w:rPr>
        <w:t xml:space="preserve">TSCA </w:t>
      </w:r>
      <w:r w:rsidR="00844D71" w:rsidRPr="00431BA7">
        <w:rPr>
          <w:rFonts w:eastAsia="Times New Roman" w:cstheme="minorHAnsi"/>
          <w:color w:val="000000"/>
          <w:sz w:val="24"/>
          <w:szCs w:val="24"/>
        </w:rPr>
        <w:t xml:space="preserve">section 14(c)(2)(G) and from review under section 14(g).  </w:t>
      </w:r>
      <w:r w:rsidR="00D42E64" w:rsidRPr="00431BA7">
        <w:rPr>
          <w:rFonts w:eastAsia="Times New Roman" w:cstheme="minorHAnsi"/>
          <w:color w:val="000000"/>
          <w:sz w:val="24"/>
          <w:szCs w:val="24"/>
        </w:rPr>
        <w:t>TSCA section 14(g) requires that EPA review certain CBI claims within 90 days of submission</w:t>
      </w:r>
      <w:r w:rsidR="001C1AD5" w:rsidRPr="00431BA7">
        <w:rPr>
          <w:rFonts w:eastAsia="Times New Roman" w:cstheme="minorHAnsi"/>
          <w:color w:val="000000"/>
          <w:sz w:val="24"/>
          <w:szCs w:val="24"/>
        </w:rPr>
        <w:t>.  In nearly all circumstances, an NOC is filed well more than 90 days after the PMN, usually months or sometimes years later.  The NOC is also, while linked to the PMN submission, a different TSCA submission</w:t>
      </w:r>
      <w:r w:rsidR="00844D71" w:rsidRPr="00431BA7">
        <w:rPr>
          <w:rFonts w:eastAsia="Times New Roman" w:cstheme="minorHAnsi"/>
          <w:color w:val="000000"/>
          <w:sz w:val="24"/>
          <w:szCs w:val="24"/>
        </w:rPr>
        <w:t>—one that does not include health and safety studies</w:t>
      </w:r>
      <w:r w:rsidR="001C1AD5" w:rsidRPr="00431BA7">
        <w:rPr>
          <w:rFonts w:eastAsia="Times New Roman" w:cstheme="minorHAnsi"/>
          <w:color w:val="000000"/>
          <w:sz w:val="24"/>
          <w:szCs w:val="24"/>
        </w:rPr>
        <w:t xml:space="preserve">.  </w:t>
      </w:r>
      <w:r w:rsidR="00C60A2D" w:rsidRPr="00431BA7">
        <w:rPr>
          <w:rFonts w:eastAsia="Times New Roman" w:cstheme="minorHAnsi"/>
          <w:color w:val="000000"/>
          <w:sz w:val="24"/>
          <w:szCs w:val="24"/>
        </w:rPr>
        <w:t>NOCs</w:t>
      </w:r>
      <w:r w:rsidR="001C1AD5" w:rsidRPr="00431BA7">
        <w:rPr>
          <w:rFonts w:eastAsia="Times New Roman" w:cstheme="minorHAnsi"/>
          <w:color w:val="000000"/>
          <w:sz w:val="24"/>
          <w:szCs w:val="24"/>
        </w:rPr>
        <w:t xml:space="preserve"> are certainly subject to review under TSCA section 14(g), as are PMNs, but the filing of an NOC does not </w:t>
      </w:r>
      <w:r w:rsidR="00844D71" w:rsidRPr="00431BA7">
        <w:rPr>
          <w:rFonts w:eastAsia="Times New Roman" w:cstheme="minorHAnsi"/>
          <w:color w:val="000000"/>
          <w:sz w:val="24"/>
          <w:szCs w:val="24"/>
        </w:rPr>
        <w:t>open or reopen the section 14(g) review of the</w:t>
      </w:r>
      <w:r w:rsidR="001C1AD5" w:rsidRPr="00431BA7">
        <w:rPr>
          <w:rFonts w:eastAsia="Times New Roman" w:cstheme="minorHAnsi"/>
          <w:color w:val="000000"/>
          <w:sz w:val="24"/>
          <w:szCs w:val="24"/>
        </w:rPr>
        <w:t xml:space="preserve"> PMN</w:t>
      </w:r>
      <w:r w:rsidR="00844D71" w:rsidRPr="00431BA7">
        <w:rPr>
          <w:rFonts w:eastAsia="Times New Roman" w:cstheme="minorHAnsi"/>
          <w:color w:val="000000"/>
          <w:sz w:val="24"/>
          <w:szCs w:val="24"/>
        </w:rPr>
        <w:t xml:space="preserve"> filed previously</w:t>
      </w:r>
      <w:r w:rsidR="001C1AD5" w:rsidRPr="00431BA7">
        <w:rPr>
          <w:rFonts w:eastAsia="Times New Roman" w:cstheme="minorHAnsi"/>
          <w:color w:val="000000"/>
          <w:sz w:val="24"/>
          <w:szCs w:val="24"/>
        </w:rPr>
        <w:t xml:space="preserve">.  </w:t>
      </w:r>
      <w:r w:rsidR="00844D71" w:rsidRPr="00431BA7">
        <w:rPr>
          <w:rFonts w:eastAsia="Times New Roman" w:cstheme="minorHAnsi"/>
          <w:color w:val="000000"/>
          <w:sz w:val="24"/>
          <w:szCs w:val="24"/>
        </w:rPr>
        <w:t>Instead</w:t>
      </w:r>
      <w:r w:rsidR="001C1AD5" w:rsidRPr="00431BA7">
        <w:rPr>
          <w:rFonts w:eastAsia="Times New Roman" w:cstheme="minorHAnsi"/>
          <w:color w:val="000000"/>
          <w:sz w:val="24"/>
          <w:szCs w:val="24"/>
        </w:rPr>
        <w:t>, the PMN may be reviewed or re-reviewed pursuant to section 14(f), under one of the mandatory or discretionary provisions, as appropriate.</w:t>
      </w:r>
      <w:r w:rsidR="00844D71" w:rsidRPr="00431BA7">
        <w:rPr>
          <w:rFonts w:eastAsia="Times New Roman" w:cstheme="minorHAnsi"/>
          <w:color w:val="000000"/>
          <w:sz w:val="24"/>
          <w:szCs w:val="24"/>
        </w:rPr>
        <w:t xml:space="preserve">  </w:t>
      </w:r>
      <w:r w:rsidR="003B733A" w:rsidRPr="00431BA7">
        <w:rPr>
          <w:rFonts w:eastAsia="Times New Roman" w:cstheme="minorHAnsi"/>
          <w:color w:val="000000"/>
          <w:sz w:val="24"/>
          <w:szCs w:val="24"/>
        </w:rPr>
        <w:t xml:space="preserve">Even following section 14(f) review, many chemical identity claims in health and safety studies </w:t>
      </w:r>
      <w:r w:rsidR="00440DD6" w:rsidRPr="00431BA7">
        <w:rPr>
          <w:rFonts w:eastAsia="Times New Roman" w:cstheme="minorHAnsi"/>
          <w:color w:val="000000"/>
          <w:sz w:val="24"/>
          <w:szCs w:val="24"/>
        </w:rPr>
        <w:t>will</w:t>
      </w:r>
      <w:r w:rsidR="003B733A" w:rsidRPr="00431BA7">
        <w:rPr>
          <w:rFonts w:eastAsia="Times New Roman" w:cstheme="minorHAnsi"/>
          <w:color w:val="000000"/>
          <w:sz w:val="24"/>
          <w:szCs w:val="24"/>
        </w:rPr>
        <w:t xml:space="preserve"> still be valid, as TSCA section 14(b) includes exceptions from information that is not protected from disclosure, including information that discloses processes used in the manufacture of a substance or portion of mixture information.</w:t>
      </w:r>
    </w:p>
    <w:p w14:paraId="39E6EE42" w14:textId="49369E13" w:rsidR="00F7541C" w:rsidRPr="00431BA7" w:rsidRDefault="00F7541C" w:rsidP="004F0AEF">
      <w:pPr>
        <w:pStyle w:val="Heading2"/>
        <w:numPr>
          <w:ilvl w:val="0"/>
          <w:numId w:val="0"/>
        </w:numPr>
        <w:ind w:left="360" w:hanging="360"/>
        <w:rPr>
          <w:rFonts w:cstheme="minorHAnsi"/>
        </w:rPr>
      </w:pPr>
      <w:bookmarkStart w:id="35" w:name="_Toc132901201"/>
      <w:bookmarkEnd w:id="34"/>
      <w:r w:rsidRPr="00431BA7">
        <w:lastRenderedPageBreak/>
        <w:t xml:space="preserve">Unit </w:t>
      </w:r>
      <w:r w:rsidR="00E47D5E" w:rsidRPr="00431BA7">
        <w:t>2</w:t>
      </w:r>
      <w:r w:rsidR="00E401BF" w:rsidRPr="00431BA7">
        <w:t>3</w:t>
      </w:r>
      <w:r w:rsidRPr="00431BA7">
        <w:t>: Notice beyond TSCA section 14 requirements</w:t>
      </w:r>
      <w:bookmarkEnd w:id="35"/>
    </w:p>
    <w:p w14:paraId="55D4A981" w14:textId="61A2FB6E" w:rsidR="00F7541C" w:rsidRPr="00431BA7" w:rsidRDefault="00F7541C" w:rsidP="00F7541C">
      <w:pPr>
        <w:rPr>
          <w:rFonts w:cstheme="minorHAnsi"/>
          <w:sz w:val="24"/>
          <w:szCs w:val="24"/>
        </w:rPr>
      </w:pPr>
      <w:r w:rsidRPr="00431BA7">
        <w:rPr>
          <w:rFonts w:cstheme="minorHAnsi"/>
          <w:b/>
          <w:bCs/>
          <w:sz w:val="24"/>
          <w:szCs w:val="24"/>
        </w:rPr>
        <w:t>Comment</w:t>
      </w:r>
      <w:r w:rsidRPr="00431BA7">
        <w:rPr>
          <w:rFonts w:cstheme="minorHAnsi"/>
          <w:sz w:val="24"/>
          <w:szCs w:val="24"/>
        </w:rPr>
        <w:t xml:space="preserve">:  EPA received a few comments suggesting that EPA should provide notice to either the public or affected CBI claim submitters for additional events, such as when any claim is selected for review, when a claim is withdrawn, when a company requests reconsideration of denial of a claim.  Some of the same commenters advocated that in addition to notice of claim review, whether under </w:t>
      </w:r>
      <w:r w:rsidR="00C60A2D" w:rsidRPr="00431BA7">
        <w:rPr>
          <w:rFonts w:cstheme="minorHAnsi"/>
          <w:sz w:val="24"/>
          <w:szCs w:val="24"/>
        </w:rPr>
        <w:t xml:space="preserve">TSCA section </w:t>
      </w:r>
      <w:r w:rsidRPr="00431BA7">
        <w:rPr>
          <w:rFonts w:cstheme="minorHAnsi"/>
          <w:sz w:val="24"/>
          <w:szCs w:val="24"/>
        </w:rPr>
        <w:t>14(g) or 14(f), the review period should not start until the affected company confirms receipt of the notice.  A commenter asserted that in the case of section 14(f) reviews and requests for substantiation, the affected company “should be provided every possible opportunity to assert and/or substantiate a claim of CBI protection, and to correct any deficiencies that may be identified by EPA in its review of CBI claims.”</w:t>
      </w:r>
      <w:r w:rsidRPr="00431BA7">
        <w:rPr>
          <w:rFonts w:cstheme="minorHAnsi"/>
          <w:i/>
          <w:iCs/>
          <w:sz w:val="24"/>
          <w:szCs w:val="24"/>
        </w:rPr>
        <w:t xml:space="preserve">  </w:t>
      </w:r>
      <w:r w:rsidRPr="00431BA7">
        <w:rPr>
          <w:rFonts w:cstheme="minorHAnsi"/>
          <w:sz w:val="24"/>
          <w:szCs w:val="24"/>
        </w:rPr>
        <w:t>Finally, one commenter suggested that when a CBI claim is denied, the affected company should be permitted to assert claims for other information, such as asserting a company identity claim when a chemical identity claim is denied.</w:t>
      </w:r>
    </w:p>
    <w:p w14:paraId="1EBA9AC3" w14:textId="22FD63F1" w:rsidR="00837FD5" w:rsidRPr="00431BA7" w:rsidRDefault="00837FD5" w:rsidP="00F7541C">
      <w:pPr>
        <w:rPr>
          <w:rFonts w:cstheme="minorHAnsi"/>
          <w:sz w:val="24"/>
          <w:szCs w:val="24"/>
        </w:rPr>
      </w:pPr>
      <w:r w:rsidRPr="00431BA7">
        <w:rPr>
          <w:rFonts w:cstheme="minorHAnsi"/>
          <w:sz w:val="24"/>
          <w:szCs w:val="24"/>
        </w:rPr>
        <w:t>Source: -0050; -0044; -0041</w:t>
      </w:r>
    </w:p>
    <w:p w14:paraId="5A77AD2D" w14:textId="06307099" w:rsidR="00F7541C" w:rsidRPr="00431BA7" w:rsidRDefault="00060C02" w:rsidP="00F7541C">
      <w:pPr>
        <w:rPr>
          <w:rFonts w:cstheme="minorHAnsi"/>
          <w:sz w:val="24"/>
          <w:szCs w:val="24"/>
        </w:rPr>
      </w:pPr>
      <w:r w:rsidRPr="00431BA7">
        <w:rPr>
          <w:rFonts w:cstheme="minorHAnsi"/>
          <w:b/>
          <w:bCs/>
          <w:sz w:val="24"/>
          <w:szCs w:val="24"/>
        </w:rPr>
        <w:t>Response</w:t>
      </w:r>
      <w:r w:rsidR="00F7541C" w:rsidRPr="00431BA7">
        <w:rPr>
          <w:rFonts w:cstheme="minorHAnsi"/>
          <w:sz w:val="24"/>
          <w:szCs w:val="24"/>
        </w:rPr>
        <w:t xml:space="preserve">:  EPA disagrees with these comments, except to the extent that they refer to existing notice requirements in TSCA.  EPA first notes that except in the case of public notice concerning the expiration of claims, none of the notices that these commenters advocated are required by TSCA.  In some cases, such as providing the notice and delaying review, following these suggestions would be inconsistent with TSCA requirements.  Providing a minimum of 45 days to respond to a request for substantiation in the case of a </w:t>
      </w:r>
      <w:r w:rsidR="00C60A2D" w:rsidRPr="00431BA7">
        <w:rPr>
          <w:rFonts w:cstheme="minorHAnsi"/>
          <w:sz w:val="24"/>
          <w:szCs w:val="24"/>
        </w:rPr>
        <w:t xml:space="preserve">TSCA section </w:t>
      </w:r>
      <w:r w:rsidR="00F7541C" w:rsidRPr="00431BA7">
        <w:rPr>
          <w:rFonts w:cstheme="minorHAnsi"/>
          <w:sz w:val="24"/>
          <w:szCs w:val="24"/>
        </w:rPr>
        <w:t xml:space="preserve">14(f) review may be inconsistent with other legal requirements, such as FOIA.  Permitting the assertion of a late CBI claim after another CBI claim is denied is inconsistent with the TSCA section 14(c) requirement that CBI claims be asserted at the time of </w:t>
      </w:r>
      <w:proofErr w:type="gramStart"/>
      <w:r w:rsidR="00F7541C" w:rsidRPr="00431BA7">
        <w:rPr>
          <w:rFonts w:cstheme="minorHAnsi"/>
          <w:sz w:val="24"/>
          <w:szCs w:val="24"/>
        </w:rPr>
        <w:t>submission, and</w:t>
      </w:r>
      <w:proofErr w:type="gramEnd"/>
      <w:r w:rsidR="00F7541C" w:rsidRPr="00431BA7">
        <w:rPr>
          <w:rFonts w:cstheme="minorHAnsi"/>
          <w:sz w:val="24"/>
          <w:szCs w:val="24"/>
        </w:rPr>
        <w:t xml:space="preserve"> would often be an ineffective or </w:t>
      </w:r>
      <w:r w:rsidR="00F51652" w:rsidRPr="00431BA7">
        <w:rPr>
          <w:rFonts w:cstheme="minorHAnsi"/>
          <w:sz w:val="24"/>
          <w:szCs w:val="24"/>
        </w:rPr>
        <w:t xml:space="preserve">denied </w:t>
      </w:r>
      <w:r w:rsidR="00F7541C" w:rsidRPr="00431BA7">
        <w:rPr>
          <w:rFonts w:cstheme="minorHAnsi"/>
          <w:sz w:val="24"/>
          <w:szCs w:val="24"/>
        </w:rPr>
        <w:t>CBI claim in any event, particularly in the case where the information sought to be treated as CBI has already been disclosed or otherwise not consistently treated as confidential.</w:t>
      </w:r>
    </w:p>
    <w:p w14:paraId="19566C1A" w14:textId="268F6DFA" w:rsidR="002C3FD4" w:rsidRPr="00431BA7" w:rsidRDefault="00F7541C" w:rsidP="00440DD6">
      <w:pPr>
        <w:rPr>
          <w:rFonts w:cstheme="minorHAnsi"/>
          <w:b/>
          <w:bCs/>
          <w:sz w:val="24"/>
          <w:szCs w:val="24"/>
        </w:rPr>
      </w:pPr>
      <w:r w:rsidRPr="00431BA7">
        <w:rPr>
          <w:rFonts w:cstheme="minorHAnsi"/>
          <w:sz w:val="24"/>
          <w:szCs w:val="24"/>
        </w:rPr>
        <w:t xml:space="preserve">Public notices of each CBI claim review and each claim withdrawal would likely require considerable resources and would go well beyond the TSCA section 26(j) requirements to publish determinations, and </w:t>
      </w:r>
      <w:r w:rsidR="00F51652" w:rsidRPr="00431BA7">
        <w:rPr>
          <w:rFonts w:cstheme="minorHAnsi"/>
          <w:sz w:val="24"/>
          <w:szCs w:val="24"/>
        </w:rPr>
        <w:t xml:space="preserve">go </w:t>
      </w:r>
      <w:r w:rsidRPr="00431BA7">
        <w:rPr>
          <w:rFonts w:cstheme="minorHAnsi"/>
          <w:sz w:val="24"/>
          <w:szCs w:val="24"/>
        </w:rPr>
        <w:t>well beyond the scope of this rule, which has the implementation of the mandatory CBI review provisions of section 14 as its focus.  EPA is considering whether a future rulemaking activity concerned with expanding regulatory provisions on how EPA will make non-CBI data available to the public might be beneficial.</w:t>
      </w:r>
    </w:p>
    <w:p w14:paraId="2E38A994" w14:textId="52F964E1" w:rsidR="002C3FD4" w:rsidRPr="00431BA7" w:rsidRDefault="002C3FD4" w:rsidP="004F0AEF">
      <w:pPr>
        <w:pStyle w:val="Heading2"/>
        <w:numPr>
          <w:ilvl w:val="0"/>
          <w:numId w:val="0"/>
        </w:numPr>
        <w:ind w:left="360" w:hanging="360"/>
      </w:pPr>
      <w:bookmarkStart w:id="36" w:name="_Toc132901202"/>
      <w:r w:rsidRPr="00431BA7">
        <w:t>Unit 2</w:t>
      </w:r>
      <w:r w:rsidR="00E401BF" w:rsidRPr="00431BA7">
        <w:t>4</w:t>
      </w:r>
      <w:r w:rsidRPr="00431BA7">
        <w:t>: CBI claim review and public disclosure obligations generally</w:t>
      </w:r>
      <w:bookmarkEnd w:id="36"/>
    </w:p>
    <w:p w14:paraId="3EB89AB6" w14:textId="0D7CD56E" w:rsidR="00440DD6" w:rsidRPr="00431BA7" w:rsidRDefault="00440DD6" w:rsidP="00440DD6">
      <w:pPr>
        <w:rPr>
          <w:rFonts w:cstheme="minorHAnsi"/>
          <w:sz w:val="24"/>
          <w:szCs w:val="24"/>
        </w:rPr>
      </w:pPr>
      <w:r w:rsidRPr="00431BA7">
        <w:rPr>
          <w:rFonts w:cstheme="minorHAnsi"/>
          <w:b/>
          <w:bCs/>
          <w:sz w:val="24"/>
          <w:szCs w:val="24"/>
        </w:rPr>
        <w:t>Comment</w:t>
      </w:r>
      <w:r w:rsidRPr="00431BA7">
        <w:rPr>
          <w:rFonts w:cstheme="minorHAnsi"/>
          <w:sz w:val="24"/>
          <w:szCs w:val="24"/>
        </w:rPr>
        <w:t xml:space="preserve">:  EPA received a few comments concerning public disclosure of non-CBI data generally, urging in some cases that all non-CBI information be disclosed “promptly,” and </w:t>
      </w:r>
      <w:r w:rsidR="00AC5AB5" w:rsidRPr="00431BA7">
        <w:rPr>
          <w:rFonts w:cstheme="minorHAnsi"/>
          <w:sz w:val="24"/>
          <w:szCs w:val="24"/>
        </w:rPr>
        <w:t>others noting that EPA has discretion to disclose anything that is either not specifically required to be or that is prohibited from disclosure.</w:t>
      </w:r>
    </w:p>
    <w:p w14:paraId="0914959C" w14:textId="5D543889" w:rsidR="00D9655B" w:rsidRPr="00431BA7" w:rsidRDefault="00D9655B" w:rsidP="00440DD6">
      <w:pPr>
        <w:rPr>
          <w:rFonts w:cstheme="minorHAnsi"/>
          <w:sz w:val="24"/>
          <w:szCs w:val="24"/>
        </w:rPr>
      </w:pPr>
      <w:r w:rsidRPr="00431BA7">
        <w:rPr>
          <w:rFonts w:cstheme="minorHAnsi"/>
          <w:sz w:val="24"/>
          <w:szCs w:val="24"/>
        </w:rPr>
        <w:t>Source: -0050; -0049; -0046</w:t>
      </w:r>
    </w:p>
    <w:p w14:paraId="4B140764" w14:textId="211BFB49" w:rsidR="00440DD6" w:rsidRPr="00431BA7" w:rsidRDefault="00060C02" w:rsidP="00440DD6">
      <w:pPr>
        <w:rPr>
          <w:rFonts w:cstheme="minorHAnsi"/>
          <w:sz w:val="24"/>
          <w:szCs w:val="24"/>
        </w:rPr>
      </w:pPr>
      <w:r w:rsidRPr="00431BA7">
        <w:rPr>
          <w:rFonts w:cstheme="minorHAnsi"/>
          <w:b/>
          <w:bCs/>
          <w:sz w:val="24"/>
          <w:szCs w:val="24"/>
        </w:rPr>
        <w:lastRenderedPageBreak/>
        <w:t>Response</w:t>
      </w:r>
      <w:r w:rsidR="00440DD6" w:rsidRPr="00431BA7">
        <w:rPr>
          <w:rFonts w:cstheme="minorHAnsi"/>
          <w:sz w:val="24"/>
          <w:szCs w:val="24"/>
        </w:rPr>
        <w:t>:</w:t>
      </w:r>
      <w:r w:rsidR="00AC5AB5" w:rsidRPr="00431BA7">
        <w:rPr>
          <w:rFonts w:cstheme="minorHAnsi"/>
          <w:sz w:val="24"/>
          <w:szCs w:val="24"/>
        </w:rPr>
        <w:t xml:space="preserve">  EPA disagrees with some commenters’ premise that section 14 of TSCA is fundamentally a disclosure provision—indeed, other sections of TSCA do have mandatory disclosure provisions, including in section 5 and section 26, for example.  Other laws, such as FOIA, also require disclosure of information, especially when that information is requested.  </w:t>
      </w:r>
      <w:proofErr w:type="gramStart"/>
      <w:r w:rsidR="00AC5AB5" w:rsidRPr="00431BA7">
        <w:rPr>
          <w:rFonts w:cstheme="minorHAnsi"/>
          <w:sz w:val="24"/>
          <w:szCs w:val="24"/>
        </w:rPr>
        <w:t>This being said, EPA</w:t>
      </w:r>
      <w:proofErr w:type="gramEnd"/>
      <w:r w:rsidR="00AC5AB5" w:rsidRPr="00431BA7">
        <w:rPr>
          <w:rFonts w:cstheme="minorHAnsi"/>
          <w:sz w:val="24"/>
          <w:szCs w:val="24"/>
        </w:rPr>
        <w:t xml:space="preserve"> has made and continues to make much </w:t>
      </w:r>
      <w:r w:rsidR="00F51652" w:rsidRPr="00431BA7">
        <w:rPr>
          <w:rFonts w:cstheme="minorHAnsi"/>
          <w:sz w:val="24"/>
          <w:szCs w:val="24"/>
        </w:rPr>
        <w:t xml:space="preserve">of the non-CBI </w:t>
      </w:r>
      <w:r w:rsidR="00AC5AB5" w:rsidRPr="00431BA7">
        <w:rPr>
          <w:rFonts w:cstheme="minorHAnsi"/>
          <w:sz w:val="24"/>
          <w:szCs w:val="24"/>
        </w:rPr>
        <w:t>TSCA data</w:t>
      </w:r>
      <w:r w:rsidR="00F51652" w:rsidRPr="00431BA7">
        <w:rPr>
          <w:rFonts w:cstheme="minorHAnsi"/>
          <w:sz w:val="24"/>
          <w:szCs w:val="24"/>
        </w:rPr>
        <w:t xml:space="preserve"> it receives</w:t>
      </w:r>
      <w:r w:rsidR="00AC5AB5" w:rsidRPr="00431BA7">
        <w:rPr>
          <w:rFonts w:cstheme="minorHAnsi"/>
          <w:sz w:val="24"/>
          <w:szCs w:val="24"/>
        </w:rPr>
        <w:t xml:space="preserve"> available and is increasingly able to do this closer in time after submission.</w:t>
      </w:r>
    </w:p>
    <w:p w14:paraId="68E21866" w14:textId="36B958AF" w:rsidR="00FB18DB" w:rsidRPr="00431BA7" w:rsidRDefault="00FB18DB">
      <w:pPr>
        <w:rPr>
          <w:rFonts w:eastAsia="Times New Roman" w:cstheme="minorHAnsi"/>
          <w:color w:val="1B1B1B"/>
          <w:sz w:val="24"/>
          <w:szCs w:val="24"/>
        </w:rPr>
      </w:pPr>
      <w:r w:rsidRPr="00431BA7">
        <w:rPr>
          <w:rFonts w:cstheme="minorHAnsi"/>
          <w:sz w:val="24"/>
          <w:szCs w:val="24"/>
        </w:rPr>
        <w:t xml:space="preserve">For example, </w:t>
      </w:r>
      <w:r w:rsidRPr="00431BA7">
        <w:rPr>
          <w:rFonts w:eastAsia="Times New Roman" w:cstheme="minorHAnsi"/>
          <w:color w:val="1B1B1B"/>
          <w:sz w:val="24"/>
          <w:szCs w:val="24"/>
        </w:rPr>
        <w:t>EPA recently published in ChemView previously unpublished new chemical notices received under TSCA section 5 and notices of substantial risk provided by companies under TSCA section 8(e).  Going forward, EPA will continue to identify older, previously submitted unpublished information to make available in ChemView and will publish newly received TSCA section 5 notices and TSCA section 8(e) reports on a near real-time basis.  EPA has also published in ChemView chemical health and safety studies received under TSCA section 8(d).</w:t>
      </w:r>
    </w:p>
    <w:p w14:paraId="07AAABE5" w14:textId="3D397343" w:rsidR="0146E236" w:rsidRPr="00431BA7" w:rsidRDefault="00FB18DB">
      <w:pPr>
        <w:rPr>
          <w:rFonts w:eastAsia="Times New Roman" w:cstheme="minorHAnsi"/>
          <w:color w:val="1B1B1B"/>
          <w:sz w:val="24"/>
          <w:szCs w:val="24"/>
        </w:rPr>
      </w:pPr>
      <w:r w:rsidRPr="00431BA7">
        <w:rPr>
          <w:rFonts w:eastAsia="Times New Roman" w:cstheme="minorHAnsi"/>
          <w:color w:val="1B1B1B"/>
          <w:sz w:val="24"/>
          <w:szCs w:val="24"/>
        </w:rPr>
        <w:t>In 2022, EPA made available in ChemView more than 25,000 new chemical notice records received under TSCA section 5, including notices received between 2014 and 2019 that had not been published previously.  In 2019, EPA began publishing non-CBI notices on an ongoing basis, and new records are now generally published within five days of receipt.  EPA will also continue to identify and make public older, previously unpublished new chemicals notices.</w:t>
      </w:r>
      <w:r w:rsidR="0146E236" w:rsidRPr="00431BA7">
        <w:rPr>
          <w:rFonts w:eastAsia="Times New Roman" w:cstheme="minorHAnsi"/>
          <w:color w:val="1B1B1B"/>
          <w:sz w:val="24"/>
          <w:szCs w:val="24"/>
        </w:rPr>
        <w:t xml:space="preserve"> </w:t>
      </w:r>
    </w:p>
    <w:p w14:paraId="21D4F6C3" w14:textId="1D9EC922" w:rsidR="00FB18DB" w:rsidRPr="00431BA7" w:rsidRDefault="00FB18DB">
      <w:pPr>
        <w:rPr>
          <w:rFonts w:cstheme="minorHAnsi"/>
          <w:sz w:val="24"/>
          <w:szCs w:val="24"/>
        </w:rPr>
      </w:pPr>
      <w:r w:rsidRPr="00431BA7">
        <w:rPr>
          <w:rFonts w:cstheme="minorHAnsi"/>
          <w:sz w:val="24"/>
          <w:szCs w:val="24"/>
        </w:rPr>
        <w:t xml:space="preserve">In 2022, EPA also published </w:t>
      </w:r>
      <w:r w:rsidR="00B4473F" w:rsidRPr="00431BA7">
        <w:rPr>
          <w:rFonts w:cstheme="minorHAnsi"/>
          <w:sz w:val="24"/>
          <w:szCs w:val="24"/>
        </w:rPr>
        <w:t xml:space="preserve">approximately </w:t>
      </w:r>
      <w:r w:rsidRPr="00431BA7">
        <w:rPr>
          <w:rFonts w:cstheme="minorHAnsi"/>
          <w:sz w:val="24"/>
          <w:szCs w:val="24"/>
        </w:rPr>
        <w:t>3,900 notices of substantial risk records received under TSCA section 8(e) in ChemView, including more than 3,300 non-CBI notices submitted between Jan. 1, 2019, and Dec. 20, 2021, that were not previously published due to resource limitations. Over the next several months, EPA will publish all non-CBI versions of 8(e) notices received from Dec. 20, 2021, to the present. Going forward, EPA will strive to publish 8(e) notices deemed complete within a week of receiving them from companies. Additionally, EPA will work to identify and publish</w:t>
      </w:r>
      <w:r w:rsidR="00C60A2D" w:rsidRPr="00431BA7">
        <w:rPr>
          <w:rFonts w:cstheme="minorHAnsi"/>
          <w:sz w:val="24"/>
          <w:szCs w:val="24"/>
        </w:rPr>
        <w:t xml:space="preserve"> section</w:t>
      </w:r>
      <w:r w:rsidRPr="00431BA7">
        <w:rPr>
          <w:rFonts w:cstheme="minorHAnsi"/>
          <w:sz w:val="24"/>
          <w:szCs w:val="24"/>
        </w:rPr>
        <w:t xml:space="preserve"> 8(e) notices received before 2019 as resources allow.</w:t>
      </w:r>
    </w:p>
    <w:p w14:paraId="30593C13" w14:textId="564D34DF" w:rsidR="00FB18DB" w:rsidRPr="00431BA7" w:rsidRDefault="00FB18DB">
      <w:pPr>
        <w:rPr>
          <w:rFonts w:cstheme="minorHAnsi"/>
          <w:sz w:val="24"/>
          <w:szCs w:val="24"/>
        </w:rPr>
      </w:pPr>
      <w:r w:rsidRPr="00431BA7">
        <w:rPr>
          <w:rFonts w:cstheme="minorHAnsi"/>
          <w:sz w:val="24"/>
          <w:szCs w:val="24"/>
        </w:rPr>
        <w:t xml:space="preserve">Finally, EPA published more than 1,700 health and safety study records received since September 2021 under TSCA section 8(d) in ChemView.  Many of these records were in response to EPA’s </w:t>
      </w:r>
      <w:r w:rsidR="00C60A2D" w:rsidRPr="00431BA7">
        <w:rPr>
          <w:rFonts w:cstheme="minorHAnsi"/>
          <w:sz w:val="24"/>
          <w:szCs w:val="24"/>
        </w:rPr>
        <w:t xml:space="preserve">section </w:t>
      </w:r>
      <w:r w:rsidRPr="00431BA7">
        <w:rPr>
          <w:rFonts w:cstheme="minorHAnsi"/>
          <w:sz w:val="24"/>
          <w:szCs w:val="24"/>
        </w:rPr>
        <w:t>8(d) rul</w:t>
      </w:r>
      <w:r w:rsidR="00C60A2D" w:rsidRPr="00431BA7">
        <w:rPr>
          <w:rFonts w:cstheme="minorHAnsi"/>
          <w:sz w:val="24"/>
          <w:szCs w:val="24"/>
        </w:rPr>
        <w:t>e</w:t>
      </w:r>
      <w:r w:rsidRPr="00431BA7">
        <w:rPr>
          <w:rFonts w:cstheme="minorHAnsi"/>
          <w:sz w:val="24"/>
          <w:szCs w:val="24"/>
        </w:rPr>
        <w:t xml:space="preserve">, </w:t>
      </w:r>
      <w:r w:rsidRPr="00431BA7">
        <w:rPr>
          <w:rFonts w:cstheme="minorHAnsi"/>
          <w:i/>
          <w:iCs/>
          <w:sz w:val="24"/>
          <w:szCs w:val="24"/>
        </w:rPr>
        <w:t xml:space="preserve">Health and Safety Data </w:t>
      </w:r>
      <w:proofErr w:type="gramStart"/>
      <w:r w:rsidRPr="00431BA7">
        <w:rPr>
          <w:rFonts w:cstheme="minorHAnsi"/>
          <w:i/>
          <w:iCs/>
          <w:sz w:val="24"/>
          <w:szCs w:val="24"/>
        </w:rPr>
        <w:t>Reporting;</w:t>
      </w:r>
      <w:proofErr w:type="gramEnd"/>
      <w:r w:rsidRPr="00431BA7">
        <w:rPr>
          <w:rFonts w:cstheme="minorHAnsi"/>
          <w:i/>
          <w:iCs/>
          <w:sz w:val="24"/>
          <w:szCs w:val="24"/>
        </w:rPr>
        <w:t xml:space="preserve"> Addition of 20 High-Priority Substances and 30 </w:t>
      </w:r>
      <w:proofErr w:type="spellStart"/>
      <w:r w:rsidRPr="00431BA7">
        <w:rPr>
          <w:rFonts w:cstheme="minorHAnsi"/>
          <w:i/>
          <w:iCs/>
          <w:sz w:val="24"/>
          <w:szCs w:val="24"/>
        </w:rPr>
        <w:t>Organohalogen</w:t>
      </w:r>
      <w:proofErr w:type="spellEnd"/>
      <w:r w:rsidRPr="00431BA7">
        <w:rPr>
          <w:rFonts w:cstheme="minorHAnsi"/>
          <w:i/>
          <w:iCs/>
          <w:sz w:val="24"/>
          <w:szCs w:val="24"/>
        </w:rPr>
        <w:t xml:space="preserve"> Flame Retardants</w:t>
      </w:r>
      <w:r w:rsidRPr="00431BA7">
        <w:rPr>
          <w:rFonts w:cstheme="minorHAnsi"/>
          <w:sz w:val="24"/>
          <w:szCs w:val="24"/>
        </w:rPr>
        <w:t xml:space="preserve">, </w:t>
      </w:r>
      <w:r w:rsidR="00C60A2D" w:rsidRPr="00431BA7">
        <w:rPr>
          <w:rFonts w:cstheme="minorHAnsi"/>
          <w:sz w:val="24"/>
          <w:szCs w:val="24"/>
        </w:rPr>
        <w:t>86 FR 34147 (June 29, 2021)</w:t>
      </w:r>
      <w:r w:rsidRPr="00431BA7">
        <w:rPr>
          <w:rFonts w:cstheme="minorHAnsi"/>
          <w:sz w:val="24"/>
          <w:szCs w:val="24"/>
        </w:rPr>
        <w:t>.  EPA expects to publish additional 8(d) records in the future.</w:t>
      </w:r>
    </w:p>
    <w:p w14:paraId="1AD4C3D2" w14:textId="4645CB89" w:rsidR="00AC5AB5" w:rsidRPr="00431BA7" w:rsidRDefault="00AC5AB5" w:rsidP="00440DD6">
      <w:pPr>
        <w:rPr>
          <w:rFonts w:cstheme="minorHAnsi"/>
          <w:sz w:val="24"/>
          <w:szCs w:val="24"/>
        </w:rPr>
      </w:pPr>
      <w:r w:rsidRPr="00431BA7">
        <w:rPr>
          <w:rFonts w:cstheme="minorHAnsi"/>
          <w:sz w:val="24"/>
          <w:szCs w:val="24"/>
        </w:rPr>
        <w:t>While an expected outcome of the final CBI procedures rule is that public</w:t>
      </w:r>
      <w:r w:rsidR="00F83346" w:rsidRPr="00431BA7">
        <w:rPr>
          <w:rFonts w:cstheme="minorHAnsi"/>
          <w:sz w:val="24"/>
          <w:szCs w:val="24"/>
        </w:rPr>
        <w:t xml:space="preserve"> access</w:t>
      </w:r>
      <w:r w:rsidRPr="00431BA7">
        <w:rPr>
          <w:rFonts w:cstheme="minorHAnsi"/>
          <w:sz w:val="24"/>
          <w:szCs w:val="24"/>
        </w:rPr>
        <w:t xml:space="preserve"> </w:t>
      </w:r>
      <w:r w:rsidR="00F83346" w:rsidRPr="00431BA7">
        <w:rPr>
          <w:rFonts w:cstheme="minorHAnsi"/>
          <w:sz w:val="24"/>
          <w:szCs w:val="24"/>
        </w:rPr>
        <w:t>to TSCA</w:t>
      </w:r>
      <w:r w:rsidRPr="00431BA7">
        <w:rPr>
          <w:rFonts w:cstheme="minorHAnsi"/>
          <w:sz w:val="24"/>
          <w:szCs w:val="24"/>
        </w:rPr>
        <w:t xml:space="preserve"> data would be </w:t>
      </w:r>
      <w:r w:rsidR="00F83346" w:rsidRPr="00431BA7">
        <w:rPr>
          <w:rFonts w:cstheme="minorHAnsi"/>
          <w:sz w:val="24"/>
          <w:szCs w:val="24"/>
        </w:rPr>
        <w:t xml:space="preserve">expanded and </w:t>
      </w:r>
      <w:r w:rsidR="00F51652" w:rsidRPr="00431BA7">
        <w:rPr>
          <w:rFonts w:cstheme="minorHAnsi"/>
          <w:sz w:val="24"/>
          <w:szCs w:val="24"/>
        </w:rPr>
        <w:t xml:space="preserve">publishing timelines would be reduced </w:t>
      </w:r>
      <w:r w:rsidRPr="00431BA7">
        <w:rPr>
          <w:rFonts w:cstheme="minorHAnsi"/>
          <w:sz w:val="24"/>
          <w:szCs w:val="24"/>
        </w:rPr>
        <w:t xml:space="preserve">by </w:t>
      </w:r>
      <w:r w:rsidR="00F83346" w:rsidRPr="00431BA7">
        <w:rPr>
          <w:rFonts w:cstheme="minorHAnsi"/>
          <w:sz w:val="24"/>
          <w:szCs w:val="24"/>
        </w:rPr>
        <w:t>i</w:t>
      </w:r>
      <w:r w:rsidRPr="00431BA7">
        <w:rPr>
          <w:rFonts w:cstheme="minorHAnsi"/>
          <w:sz w:val="24"/>
          <w:szCs w:val="24"/>
        </w:rPr>
        <w:t xml:space="preserve">mproved </w:t>
      </w:r>
      <w:r w:rsidR="00F83346" w:rsidRPr="00431BA7">
        <w:rPr>
          <w:rFonts w:cstheme="minorHAnsi"/>
          <w:sz w:val="24"/>
          <w:szCs w:val="24"/>
        </w:rPr>
        <w:t xml:space="preserve">and more complete </w:t>
      </w:r>
      <w:r w:rsidRPr="00431BA7">
        <w:rPr>
          <w:rFonts w:cstheme="minorHAnsi"/>
          <w:sz w:val="24"/>
          <w:szCs w:val="24"/>
        </w:rPr>
        <w:t xml:space="preserve">public copies, introducing new disclosure requirements and timeframes </w:t>
      </w:r>
      <w:proofErr w:type="gramStart"/>
      <w:r w:rsidRPr="00431BA7">
        <w:rPr>
          <w:rFonts w:cstheme="minorHAnsi"/>
          <w:sz w:val="24"/>
          <w:szCs w:val="24"/>
        </w:rPr>
        <w:t>in excess of</w:t>
      </w:r>
      <w:proofErr w:type="gramEnd"/>
      <w:r w:rsidRPr="00431BA7">
        <w:rPr>
          <w:rFonts w:cstheme="minorHAnsi"/>
          <w:sz w:val="24"/>
          <w:szCs w:val="24"/>
        </w:rPr>
        <w:t xml:space="preserve"> statutory requirements </w:t>
      </w:r>
      <w:r w:rsidR="00F83346" w:rsidRPr="00431BA7">
        <w:rPr>
          <w:rFonts w:cstheme="minorHAnsi"/>
          <w:sz w:val="24"/>
          <w:szCs w:val="24"/>
        </w:rPr>
        <w:t>wa</w:t>
      </w:r>
      <w:r w:rsidRPr="00431BA7">
        <w:rPr>
          <w:rFonts w:cstheme="minorHAnsi"/>
          <w:sz w:val="24"/>
          <w:szCs w:val="24"/>
        </w:rPr>
        <w:t>s not within the intended scope of the proposed rule</w:t>
      </w:r>
      <w:r w:rsidR="00F83346" w:rsidRPr="00431BA7">
        <w:rPr>
          <w:rFonts w:cstheme="minorHAnsi"/>
          <w:sz w:val="24"/>
          <w:szCs w:val="24"/>
        </w:rPr>
        <w:t>, which was focused on implementing the new CBI review processes required in the Lautenberg amendments</w:t>
      </w:r>
      <w:r w:rsidRPr="00431BA7">
        <w:rPr>
          <w:rFonts w:cstheme="minorHAnsi"/>
          <w:sz w:val="24"/>
          <w:szCs w:val="24"/>
        </w:rPr>
        <w:t>.  However, EPA is considering whether a public data or “transparency” rule may be beneficial to undertake in the future.</w:t>
      </w:r>
    </w:p>
    <w:p w14:paraId="57B1A06D" w14:textId="605A0C44" w:rsidR="00BA3B85" w:rsidRPr="00431BA7" w:rsidRDefault="00BA3B85" w:rsidP="00BA3B85">
      <w:pPr>
        <w:rPr>
          <w:sz w:val="24"/>
          <w:szCs w:val="24"/>
        </w:rPr>
      </w:pPr>
      <w:r w:rsidRPr="00431BA7">
        <w:rPr>
          <w:rFonts w:cstheme="minorHAnsi"/>
          <w:b/>
          <w:bCs/>
          <w:sz w:val="24"/>
          <w:szCs w:val="24"/>
        </w:rPr>
        <w:t>Comment</w:t>
      </w:r>
      <w:r w:rsidRPr="00431BA7">
        <w:rPr>
          <w:rFonts w:cstheme="minorHAnsi"/>
          <w:sz w:val="24"/>
          <w:szCs w:val="24"/>
        </w:rPr>
        <w:t xml:space="preserve">: One commenter suggested that the CBI-related procedural protections in TSCA Section 14(g) do not apply to health and safety studies. Specifically, the commenter asserts that </w:t>
      </w:r>
      <w:r w:rsidRPr="00431BA7">
        <w:rPr>
          <w:sz w:val="24"/>
          <w:szCs w:val="24"/>
        </w:rPr>
        <w:lastRenderedPageBreak/>
        <w:t>because 14(g) does not apply to “claims regarding information described in subsection 14(c)(2),” none of the procedural protections afforded to submitters that flow from the CBI review process are available for CBI claims for health and safety studies</w:t>
      </w:r>
      <w:r w:rsidR="00D9655B" w:rsidRPr="00431BA7">
        <w:rPr>
          <w:sz w:val="24"/>
          <w:szCs w:val="24"/>
        </w:rPr>
        <w:t>.</w:t>
      </w:r>
    </w:p>
    <w:p w14:paraId="3B457731" w14:textId="3F57A650" w:rsidR="00D9655B" w:rsidRPr="00431BA7" w:rsidRDefault="00D9655B" w:rsidP="00BA3B85">
      <w:pPr>
        <w:rPr>
          <w:rFonts w:cstheme="minorHAnsi"/>
          <w:sz w:val="24"/>
          <w:szCs w:val="24"/>
        </w:rPr>
      </w:pPr>
      <w:r w:rsidRPr="00431BA7">
        <w:rPr>
          <w:sz w:val="24"/>
          <w:szCs w:val="24"/>
        </w:rPr>
        <w:t>Source: -0049</w:t>
      </w:r>
    </w:p>
    <w:p w14:paraId="5464574E" w14:textId="57DB6EAC" w:rsidR="00BA3B85" w:rsidRPr="00431BA7" w:rsidRDefault="00060C02" w:rsidP="00BA3B85">
      <w:pPr>
        <w:rPr>
          <w:rFonts w:cstheme="minorHAnsi"/>
          <w:sz w:val="24"/>
          <w:szCs w:val="24"/>
        </w:rPr>
      </w:pPr>
      <w:r w:rsidRPr="00431BA7">
        <w:rPr>
          <w:rFonts w:cstheme="minorHAnsi"/>
          <w:b/>
          <w:sz w:val="24"/>
          <w:szCs w:val="24"/>
        </w:rPr>
        <w:t>Response</w:t>
      </w:r>
      <w:r w:rsidR="00BA3B85" w:rsidRPr="00431BA7">
        <w:rPr>
          <w:rFonts w:cstheme="minorHAnsi"/>
          <w:sz w:val="24"/>
          <w:szCs w:val="24"/>
        </w:rPr>
        <w:t>: EPA disagrees with this comment. Under the notice provision at TSCA section 14(g)(2)(A), notice is required under the following circumstances:</w:t>
      </w:r>
    </w:p>
    <w:p w14:paraId="28761FC8" w14:textId="4538A916" w:rsidR="00BA3B85" w:rsidRPr="00431BA7" w:rsidRDefault="00BA3B85" w:rsidP="00BA3B85">
      <w:pPr>
        <w:ind w:left="720"/>
        <w:rPr>
          <w:rFonts w:cstheme="minorHAnsi"/>
          <w:sz w:val="24"/>
          <w:szCs w:val="24"/>
        </w:rPr>
      </w:pPr>
      <w:r w:rsidRPr="00431BA7">
        <w:rPr>
          <w:rFonts w:cstheme="minorHAnsi"/>
          <w:sz w:val="24"/>
          <w:szCs w:val="24"/>
        </w:rPr>
        <w:t xml:space="preserve">Except as provided in subparagraph (B) and subsections (b), (d), and (e), if the Administrator denies or denies in part a claim or request under paragraph (1), concludes, in accordance with this section, that the information does not qualify for protection from disclosure, intends to disclose information pursuant to subsection (d), or promulgates a rule under section 2605(a) of this title establishing a ban or phase-out with respect to a chemical substance or mixture, the Administrator shall notify, in writing, the person that asserted the claim or submitted the request of the intent of the Administrator to disclose the information or not protect the information from disclosure under this section. </w:t>
      </w:r>
    </w:p>
    <w:p w14:paraId="56AE0A54" w14:textId="77777777" w:rsidR="00BA3B85" w:rsidRPr="00431BA7" w:rsidRDefault="00BA3B85" w:rsidP="00BA3B85">
      <w:pPr>
        <w:rPr>
          <w:rFonts w:cstheme="minorHAnsi"/>
          <w:sz w:val="24"/>
          <w:szCs w:val="24"/>
        </w:rPr>
      </w:pPr>
      <w:r w:rsidRPr="00431BA7">
        <w:rPr>
          <w:rFonts w:cstheme="minorHAnsi"/>
          <w:sz w:val="24"/>
          <w:szCs w:val="24"/>
        </w:rPr>
        <w:t xml:space="preserve">Thus, the section 14(g)(2) notification requirement applies not only to specific determinations of CBI claims under 14(g)(1) (“denies or denies in part a claim ***”), but also to other situations where the Agency concludes that “information does not qualify for protection from disclosure” under section 14. The health and safety studies provision </w:t>
      </w:r>
      <w:proofErr w:type="gramStart"/>
      <w:r w:rsidRPr="00431BA7">
        <w:rPr>
          <w:rFonts w:cstheme="minorHAnsi"/>
          <w:sz w:val="24"/>
          <w:szCs w:val="24"/>
        </w:rPr>
        <w:t>is</w:t>
      </w:r>
      <w:proofErr w:type="gramEnd"/>
      <w:r w:rsidRPr="00431BA7">
        <w:rPr>
          <w:rFonts w:cstheme="minorHAnsi"/>
          <w:sz w:val="24"/>
          <w:szCs w:val="24"/>
        </w:rPr>
        <w:t xml:space="preserve"> in the subsection entitled “information not protected from disclosure;” therefore, if a company submits a study with improper confidentiality claims and EPA determines the information does not qualify for protection, notice is required under TSCA section 14(g)(2)(A).</w:t>
      </w:r>
    </w:p>
    <w:p w14:paraId="0F88AF82" w14:textId="44902FA4" w:rsidR="00654D73" w:rsidRPr="00431BA7" w:rsidRDefault="00654D73" w:rsidP="00654D73">
      <w:pPr>
        <w:rPr>
          <w:rFonts w:cstheme="minorHAnsi"/>
          <w:sz w:val="24"/>
          <w:szCs w:val="24"/>
        </w:rPr>
      </w:pPr>
      <w:r w:rsidRPr="00431BA7">
        <w:rPr>
          <w:rFonts w:cstheme="minorHAnsi"/>
          <w:b/>
          <w:bCs/>
          <w:sz w:val="24"/>
          <w:szCs w:val="24"/>
        </w:rPr>
        <w:t>Comment</w:t>
      </w:r>
      <w:r w:rsidRPr="00431BA7">
        <w:rPr>
          <w:rFonts w:cstheme="minorHAnsi"/>
          <w:sz w:val="24"/>
          <w:szCs w:val="24"/>
        </w:rPr>
        <w:t>:</w:t>
      </w:r>
      <w:r w:rsidR="00A52CF3" w:rsidRPr="00431BA7">
        <w:rPr>
          <w:rFonts w:cstheme="minorHAnsi"/>
          <w:sz w:val="24"/>
          <w:szCs w:val="24"/>
        </w:rPr>
        <w:t xml:space="preserve">  One commenter asserted that EPA should review all CBI claims for consistency with section 14(b) of </w:t>
      </w:r>
      <w:r w:rsidR="00505CA0" w:rsidRPr="00431BA7">
        <w:rPr>
          <w:rFonts w:cstheme="minorHAnsi"/>
          <w:sz w:val="24"/>
          <w:szCs w:val="24"/>
        </w:rPr>
        <w:t xml:space="preserve">TSCA </w:t>
      </w:r>
      <w:r w:rsidR="00A52CF3" w:rsidRPr="00431BA7">
        <w:rPr>
          <w:rFonts w:cstheme="minorHAnsi"/>
          <w:sz w:val="24"/>
          <w:szCs w:val="24"/>
        </w:rPr>
        <w:t>and that the public file (referencing 40 CFR 720.95 and 725.95 in particular) should include all information for which CBI claims have been withdrawn, denied, or expired.</w:t>
      </w:r>
    </w:p>
    <w:p w14:paraId="6A8073AD" w14:textId="7066C2DB" w:rsidR="00CE1AF1" w:rsidRPr="00431BA7" w:rsidRDefault="00CE1AF1" w:rsidP="00654D73">
      <w:pPr>
        <w:rPr>
          <w:rFonts w:cstheme="minorHAnsi"/>
          <w:sz w:val="24"/>
          <w:szCs w:val="24"/>
        </w:rPr>
      </w:pPr>
      <w:r w:rsidRPr="00431BA7">
        <w:rPr>
          <w:rFonts w:cstheme="minorHAnsi"/>
          <w:sz w:val="24"/>
          <w:szCs w:val="24"/>
        </w:rPr>
        <w:t>Source: -0050</w:t>
      </w:r>
    </w:p>
    <w:p w14:paraId="5ED69D73" w14:textId="18319726" w:rsidR="0078527E" w:rsidRPr="00431BA7" w:rsidRDefault="00060C02" w:rsidP="00654D73">
      <w:pPr>
        <w:rPr>
          <w:rFonts w:cstheme="minorHAnsi"/>
          <w:sz w:val="24"/>
          <w:szCs w:val="24"/>
        </w:rPr>
      </w:pPr>
      <w:r w:rsidRPr="00431BA7">
        <w:rPr>
          <w:rFonts w:cstheme="minorHAnsi"/>
          <w:b/>
          <w:bCs/>
          <w:sz w:val="24"/>
          <w:szCs w:val="24"/>
        </w:rPr>
        <w:t>Response</w:t>
      </w:r>
      <w:r w:rsidR="00654D73" w:rsidRPr="00431BA7">
        <w:rPr>
          <w:rFonts w:cstheme="minorHAnsi"/>
          <w:sz w:val="24"/>
          <w:szCs w:val="24"/>
        </w:rPr>
        <w:t>:</w:t>
      </w:r>
      <w:r w:rsidR="00A52CF3" w:rsidRPr="00431BA7">
        <w:rPr>
          <w:rFonts w:cstheme="minorHAnsi"/>
          <w:sz w:val="24"/>
          <w:szCs w:val="24"/>
        </w:rPr>
        <w:t xml:space="preserve">  EPA disagrees with these comments.</w:t>
      </w:r>
      <w:r w:rsidR="00505CA0" w:rsidRPr="00431BA7">
        <w:rPr>
          <w:rFonts w:cstheme="minorHAnsi"/>
          <w:sz w:val="24"/>
          <w:szCs w:val="24"/>
        </w:rPr>
        <w:t xml:space="preserve">  Assuring that each CBI claim is consistent with section 14(b) of TSCA</w:t>
      </w:r>
      <w:r w:rsidR="0078527E" w:rsidRPr="00431BA7">
        <w:rPr>
          <w:rFonts w:cstheme="minorHAnsi"/>
          <w:sz w:val="24"/>
          <w:szCs w:val="24"/>
        </w:rPr>
        <w:t xml:space="preserve"> </w:t>
      </w:r>
      <w:r w:rsidR="00505CA0" w:rsidRPr="00431BA7">
        <w:rPr>
          <w:rFonts w:cstheme="minorHAnsi"/>
          <w:sz w:val="24"/>
          <w:szCs w:val="24"/>
        </w:rPr>
        <w:t xml:space="preserve">would require a substantive review of each claim, which is well beyond the routine CBI review requirements described in section 14(g) (i.e., all chemical identity claims for substances that have been offered for commercial distribution and at least 25% of all other claims).  Any claim might also be subject to review under section 14(f), but mandatory or discretionary review is appropriate under only the six circumstances described in that section (e.g., in the case that EPA receives a FOIA request for the </w:t>
      </w:r>
      <w:proofErr w:type="gramStart"/>
      <w:r w:rsidR="00505CA0" w:rsidRPr="00431BA7">
        <w:rPr>
          <w:rFonts w:cstheme="minorHAnsi"/>
          <w:sz w:val="24"/>
          <w:szCs w:val="24"/>
        </w:rPr>
        <w:t>information, or</w:t>
      </w:r>
      <w:proofErr w:type="gramEnd"/>
      <w:r w:rsidR="00505CA0" w:rsidRPr="00431BA7">
        <w:rPr>
          <w:rFonts w:cstheme="minorHAnsi"/>
          <w:sz w:val="24"/>
          <w:szCs w:val="24"/>
        </w:rPr>
        <w:t xml:space="preserve"> develops reason to believe the information is not entitled to confidentiality protections).  </w:t>
      </w:r>
      <w:r w:rsidR="0078527E" w:rsidRPr="00431BA7">
        <w:rPr>
          <w:rFonts w:cstheme="minorHAnsi"/>
          <w:sz w:val="24"/>
          <w:szCs w:val="24"/>
        </w:rPr>
        <w:t xml:space="preserve">Developing a CBI review program that covers all claims and is focused on the health and safety-related restrictions in section 14(b) </w:t>
      </w:r>
      <w:r w:rsidR="00505CA0" w:rsidRPr="00431BA7">
        <w:rPr>
          <w:rFonts w:cstheme="minorHAnsi"/>
          <w:sz w:val="24"/>
          <w:szCs w:val="24"/>
        </w:rPr>
        <w:t>is beyond the scope of the proposed rule</w:t>
      </w:r>
      <w:r w:rsidR="0078527E" w:rsidRPr="00431BA7">
        <w:rPr>
          <w:rFonts w:cstheme="minorHAnsi"/>
          <w:sz w:val="24"/>
          <w:szCs w:val="24"/>
        </w:rPr>
        <w:t xml:space="preserve">, which was focused on implementing </w:t>
      </w:r>
      <w:r w:rsidR="0078527E" w:rsidRPr="00431BA7">
        <w:rPr>
          <w:rFonts w:cstheme="minorHAnsi"/>
          <w:sz w:val="24"/>
          <w:szCs w:val="24"/>
        </w:rPr>
        <w:lastRenderedPageBreak/>
        <w:t xml:space="preserve">procedures related to the mandatory CBI review program described in section 14(g) and the mandatory and discretionary review provisions of section 14(f).  While both 14(g) and 14(f) reviews include consideration of whether claims are entitled to confidential treatment under 14(b), no part of section 14 mandates that all claims must be reviewed for consistency with 14(b).  </w:t>
      </w:r>
    </w:p>
    <w:p w14:paraId="54B0A264" w14:textId="54D06464" w:rsidR="00BB2343" w:rsidRPr="00431BA7" w:rsidRDefault="0078527E" w:rsidP="00654D73">
      <w:pPr>
        <w:rPr>
          <w:rFonts w:cstheme="minorHAnsi"/>
          <w:sz w:val="24"/>
          <w:szCs w:val="24"/>
        </w:rPr>
      </w:pPr>
      <w:r w:rsidRPr="00431BA7">
        <w:rPr>
          <w:rFonts w:cstheme="minorHAnsi"/>
          <w:sz w:val="24"/>
          <w:szCs w:val="24"/>
        </w:rPr>
        <w:t>Instead, the proposed rule include</w:t>
      </w:r>
      <w:r w:rsidR="004E6CCA" w:rsidRPr="00431BA7">
        <w:rPr>
          <w:rFonts w:cstheme="minorHAnsi"/>
          <w:sz w:val="24"/>
          <w:szCs w:val="24"/>
        </w:rPr>
        <w:t>d</w:t>
      </w:r>
      <w:r w:rsidRPr="00431BA7">
        <w:rPr>
          <w:rFonts w:cstheme="minorHAnsi"/>
          <w:sz w:val="24"/>
          <w:szCs w:val="24"/>
        </w:rPr>
        <w:t xml:space="preserve"> provisions that elaborate on requirements to provide public copies</w:t>
      </w:r>
      <w:r w:rsidR="004E6CCA" w:rsidRPr="00431BA7">
        <w:rPr>
          <w:rFonts w:cstheme="minorHAnsi"/>
          <w:sz w:val="24"/>
          <w:szCs w:val="24"/>
        </w:rPr>
        <w:t xml:space="preserve"> of TSCA submissions, provisions that elaborate upon the limited confidentiality protections afforded to health and safety information, and provisions to efficiently address claim deficiencies.  Compliance with these provisions should be reasonably assured by the relatively high chance that any given submission is selected for CBI review (25% +), and by the fact that any other perceived inappropriate claim</w:t>
      </w:r>
      <w:r w:rsidR="00505CA0" w:rsidRPr="00431BA7">
        <w:rPr>
          <w:rFonts w:cstheme="minorHAnsi"/>
          <w:sz w:val="24"/>
          <w:szCs w:val="24"/>
        </w:rPr>
        <w:t xml:space="preserve"> </w:t>
      </w:r>
      <w:r w:rsidR="004E6CCA" w:rsidRPr="00431BA7">
        <w:rPr>
          <w:rFonts w:cstheme="minorHAnsi"/>
          <w:sz w:val="24"/>
          <w:szCs w:val="24"/>
        </w:rPr>
        <w:t xml:space="preserve">may be reviewed under section 14(f).  If after the rule is finalized, </w:t>
      </w:r>
      <w:r w:rsidR="00BB2343" w:rsidRPr="00431BA7">
        <w:rPr>
          <w:rFonts w:cstheme="minorHAnsi"/>
          <w:sz w:val="24"/>
          <w:szCs w:val="24"/>
        </w:rPr>
        <w:t>EPA observes that CBI claims exceeding what is permissible under the rules and section 14(b) continues to be a significant problem, EPA will consider whether further rulemaking may be necessary or whether expansion of its review practices to cover more submissions would be feasible or appropriate.</w:t>
      </w:r>
    </w:p>
    <w:p w14:paraId="0C819996" w14:textId="0C69FEE0" w:rsidR="00BB2343" w:rsidRPr="00431BA7" w:rsidRDefault="00BB2343" w:rsidP="00BB2343">
      <w:pPr>
        <w:rPr>
          <w:rFonts w:cstheme="minorHAnsi"/>
          <w:sz w:val="24"/>
          <w:szCs w:val="24"/>
        </w:rPr>
      </w:pPr>
      <w:r w:rsidRPr="00431BA7">
        <w:rPr>
          <w:rFonts w:cstheme="minorHAnsi"/>
          <w:sz w:val="24"/>
          <w:szCs w:val="24"/>
        </w:rPr>
        <w:t>Concerning the public file, while an expected outcome of the final CBI procedures rule is that public access to TSCA data would be expanded and speeded by improved and more complete public copies (including information for which claims were denied, withdrawn, or expired and public copies were updated according to the provisions of this rule), the introduction of new disclosure requirements and deadlines in excess of statutory requirements was not within the intended scope of the proposed rule, which was focused on implementing the new CBI review processes required in the Lautenberg amendments.  However, EPA is considering whether a public data or “transparency” rule may be beneficial to undertake in the future.</w:t>
      </w:r>
    </w:p>
    <w:p w14:paraId="16B4A2AC" w14:textId="6E8BCD08" w:rsidR="009C7DC8" w:rsidRPr="00431BA7" w:rsidRDefault="00060C02" w:rsidP="000140FB">
      <w:pPr>
        <w:rPr>
          <w:rFonts w:cstheme="minorHAnsi"/>
          <w:sz w:val="24"/>
          <w:szCs w:val="24"/>
        </w:rPr>
      </w:pPr>
      <w:r w:rsidRPr="00431BA7">
        <w:rPr>
          <w:rFonts w:cstheme="minorHAnsi"/>
          <w:b/>
          <w:bCs/>
          <w:sz w:val="24"/>
          <w:szCs w:val="24"/>
        </w:rPr>
        <w:t>Comment:</w:t>
      </w:r>
      <w:r w:rsidR="009C7DC8" w:rsidRPr="00431BA7">
        <w:rPr>
          <w:rFonts w:cstheme="minorHAnsi"/>
          <w:sz w:val="24"/>
          <w:szCs w:val="24"/>
        </w:rPr>
        <w:t xml:space="preserve">  One commenter noted a several provisions of TSCA section 14 that are not repeated in the proposed regulations, urging that EPA should “codify” more of section 14 in the rule.</w:t>
      </w:r>
    </w:p>
    <w:p w14:paraId="0445A751" w14:textId="145E1444" w:rsidR="00CE1AF1" w:rsidRPr="00431BA7" w:rsidRDefault="00CE1AF1" w:rsidP="000140FB">
      <w:pPr>
        <w:rPr>
          <w:rFonts w:cstheme="minorHAnsi"/>
          <w:sz w:val="24"/>
          <w:szCs w:val="24"/>
        </w:rPr>
      </w:pPr>
      <w:r w:rsidRPr="00431BA7">
        <w:rPr>
          <w:rFonts w:cstheme="minorHAnsi"/>
          <w:sz w:val="24"/>
          <w:szCs w:val="24"/>
        </w:rPr>
        <w:t>Source: -0050</w:t>
      </w:r>
    </w:p>
    <w:p w14:paraId="054496A9" w14:textId="2B3690CF" w:rsidR="006E4710" w:rsidRPr="00C445D5" w:rsidRDefault="00060C02" w:rsidP="006E4710">
      <w:pPr>
        <w:rPr>
          <w:rFonts w:cstheme="minorHAnsi"/>
          <w:sz w:val="24"/>
          <w:szCs w:val="24"/>
        </w:rPr>
      </w:pPr>
      <w:r w:rsidRPr="00431BA7">
        <w:rPr>
          <w:rFonts w:cstheme="minorHAnsi"/>
          <w:b/>
          <w:bCs/>
          <w:sz w:val="24"/>
          <w:szCs w:val="24"/>
        </w:rPr>
        <w:t>Response</w:t>
      </w:r>
      <w:r w:rsidR="0039478C" w:rsidRPr="00431BA7">
        <w:rPr>
          <w:rFonts w:cstheme="minorHAnsi"/>
          <w:b/>
          <w:bCs/>
          <w:sz w:val="24"/>
          <w:szCs w:val="24"/>
        </w:rPr>
        <w:t>:</w:t>
      </w:r>
      <w:r w:rsidR="0039478C" w:rsidRPr="00431BA7">
        <w:rPr>
          <w:rFonts w:cstheme="minorHAnsi"/>
          <w:b/>
          <w:bCs/>
          <w:i/>
          <w:iCs/>
          <w:sz w:val="24"/>
          <w:szCs w:val="24"/>
        </w:rPr>
        <w:t xml:space="preserve"> </w:t>
      </w:r>
      <w:r w:rsidR="006E4710" w:rsidRPr="00431BA7">
        <w:rPr>
          <w:rFonts w:cstheme="minorHAnsi"/>
          <w:b/>
          <w:bCs/>
          <w:sz w:val="24"/>
          <w:szCs w:val="24"/>
        </w:rPr>
        <w:t xml:space="preserve"> </w:t>
      </w:r>
      <w:r w:rsidR="009C7DC8" w:rsidRPr="00431BA7">
        <w:rPr>
          <w:rFonts w:cstheme="minorHAnsi"/>
          <w:sz w:val="24"/>
          <w:szCs w:val="24"/>
        </w:rPr>
        <w:t xml:space="preserve">EPA disagrees with this comment.  </w:t>
      </w:r>
      <w:r w:rsidR="009D5F49" w:rsidRPr="00431BA7">
        <w:rPr>
          <w:rFonts w:cstheme="minorHAnsi"/>
          <w:sz w:val="24"/>
          <w:szCs w:val="24"/>
        </w:rPr>
        <w:t>EPA intended in the proposed rule to clarify</w:t>
      </w:r>
      <w:r w:rsidR="000C19D6" w:rsidRPr="00431BA7">
        <w:rPr>
          <w:rFonts w:cstheme="minorHAnsi"/>
          <w:sz w:val="24"/>
          <w:szCs w:val="24"/>
        </w:rPr>
        <w:t xml:space="preserve"> EPA’s interpretation of the statutory requirements, where necessary,</w:t>
      </w:r>
      <w:r w:rsidR="009D5F49" w:rsidRPr="00431BA7">
        <w:rPr>
          <w:rFonts w:cstheme="minorHAnsi"/>
          <w:sz w:val="24"/>
          <w:szCs w:val="24"/>
        </w:rPr>
        <w:t xml:space="preserve"> and provide procedures for statutory requirements that did not entirely speak for themselves—where the statutory requirement is evident on its face, there is generally no need to repeat it in the regulations.  T</w:t>
      </w:r>
      <w:r w:rsidR="009C7DC8" w:rsidRPr="00431BA7">
        <w:rPr>
          <w:rFonts w:cstheme="minorHAnsi"/>
          <w:sz w:val="24"/>
          <w:szCs w:val="24"/>
        </w:rPr>
        <w:t>he</w:t>
      </w:r>
      <w:r w:rsidR="009D5F49" w:rsidRPr="00431BA7">
        <w:rPr>
          <w:rFonts w:cstheme="minorHAnsi"/>
          <w:sz w:val="24"/>
          <w:szCs w:val="24"/>
        </w:rPr>
        <w:t xml:space="preserve"> commenter did not indicate that the proposed regulations </w:t>
      </w:r>
      <w:r w:rsidR="000C19D6" w:rsidRPr="00431BA7">
        <w:rPr>
          <w:rFonts w:cstheme="minorHAnsi"/>
          <w:sz w:val="24"/>
          <w:szCs w:val="24"/>
        </w:rPr>
        <w:t>contradicted or undermined a statutory requirement</w:t>
      </w:r>
      <w:r w:rsidR="009C7DC8" w:rsidRPr="00431BA7">
        <w:rPr>
          <w:rFonts w:cstheme="minorHAnsi"/>
          <w:sz w:val="24"/>
          <w:szCs w:val="24"/>
        </w:rPr>
        <w:t>.</w:t>
      </w:r>
      <w:r w:rsidR="009D5F49" w:rsidRPr="00431BA7">
        <w:rPr>
          <w:rFonts w:cstheme="minorHAnsi"/>
          <w:sz w:val="24"/>
          <w:szCs w:val="24"/>
        </w:rPr>
        <w:t xml:space="preserve">  </w:t>
      </w:r>
      <w:r w:rsidRPr="00431BA7">
        <w:rPr>
          <w:rFonts w:cstheme="minorHAnsi"/>
          <w:sz w:val="24"/>
          <w:szCs w:val="24"/>
        </w:rPr>
        <w:t xml:space="preserve">As the D.C. Circuit noted in recent litigation also touching on section 14 of TSCA, “there is nothing facially troubling about the failure to copy every relevant statutory obligation into the regulation.”  </w:t>
      </w:r>
      <w:r w:rsidRPr="00431BA7">
        <w:rPr>
          <w:rFonts w:cstheme="minorHAnsi"/>
          <w:i/>
          <w:sz w:val="24"/>
          <w:szCs w:val="24"/>
        </w:rPr>
        <w:t>EDF v. EPA</w:t>
      </w:r>
      <w:r w:rsidRPr="00431BA7">
        <w:rPr>
          <w:rFonts w:cstheme="minorHAnsi"/>
          <w:sz w:val="24"/>
          <w:szCs w:val="24"/>
        </w:rPr>
        <w:t xml:space="preserve">, 922 F.3d 446, 457 (D.C. Cir. 2019) (quoting </w:t>
      </w:r>
      <w:r w:rsidRPr="00431BA7">
        <w:rPr>
          <w:rFonts w:cstheme="minorHAnsi"/>
          <w:i/>
          <w:sz w:val="24"/>
          <w:szCs w:val="24"/>
        </w:rPr>
        <w:t>Texas v. EPA</w:t>
      </w:r>
      <w:r w:rsidRPr="00431BA7">
        <w:rPr>
          <w:rFonts w:cstheme="minorHAnsi"/>
          <w:sz w:val="24"/>
          <w:szCs w:val="24"/>
        </w:rPr>
        <w:t>, 726 F.3d 180, 195 (D.C. Cir. 2013</w:t>
      </w:r>
      <w:r w:rsidRPr="00431BA7" w:rsidDel="00B93360">
        <w:rPr>
          <w:rFonts w:cstheme="minorHAnsi"/>
          <w:sz w:val="24"/>
          <w:szCs w:val="24"/>
        </w:rPr>
        <w:t>)</w:t>
      </w:r>
      <w:r w:rsidRPr="00431BA7" w:rsidDel="00F27831">
        <w:rPr>
          <w:rFonts w:cstheme="minorHAnsi"/>
          <w:sz w:val="24"/>
          <w:szCs w:val="24"/>
        </w:rPr>
        <w:t>)</w:t>
      </w:r>
      <w:r w:rsidRPr="00431BA7">
        <w:rPr>
          <w:rFonts w:cstheme="minorHAnsi"/>
          <w:sz w:val="24"/>
          <w:szCs w:val="24"/>
        </w:rPr>
        <w:t>.</w:t>
      </w:r>
    </w:p>
    <w:p w14:paraId="68696E2A" w14:textId="77777777" w:rsidR="00346FFA" w:rsidRPr="00C445D5" w:rsidRDefault="00346FFA">
      <w:pPr>
        <w:rPr>
          <w:rFonts w:cstheme="minorHAnsi"/>
          <w:b/>
          <w:bCs/>
          <w:sz w:val="24"/>
          <w:szCs w:val="24"/>
        </w:rPr>
      </w:pPr>
    </w:p>
    <w:sectPr w:rsidR="00346FFA" w:rsidRPr="00C445D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B742" w14:textId="77777777" w:rsidR="00044932" w:rsidRDefault="00044932" w:rsidP="001169A1">
      <w:pPr>
        <w:spacing w:after="0" w:line="240" w:lineRule="auto"/>
      </w:pPr>
      <w:r>
        <w:separator/>
      </w:r>
    </w:p>
  </w:endnote>
  <w:endnote w:type="continuationSeparator" w:id="0">
    <w:p w14:paraId="608D2EFB" w14:textId="77777777" w:rsidR="00044932" w:rsidRDefault="00044932" w:rsidP="001169A1">
      <w:pPr>
        <w:spacing w:after="0" w:line="240" w:lineRule="auto"/>
      </w:pPr>
      <w:r>
        <w:continuationSeparator/>
      </w:r>
    </w:p>
  </w:endnote>
  <w:endnote w:type="continuationNotice" w:id="1">
    <w:p w14:paraId="5571B5A3" w14:textId="77777777" w:rsidR="00044932" w:rsidRDefault="00044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288932"/>
      <w:docPartObj>
        <w:docPartGallery w:val="Page Numbers (Bottom of Page)"/>
        <w:docPartUnique/>
      </w:docPartObj>
    </w:sdtPr>
    <w:sdtEndPr>
      <w:rPr>
        <w:noProof/>
      </w:rPr>
    </w:sdtEndPr>
    <w:sdtContent>
      <w:p w14:paraId="171D232B" w14:textId="24783D8A" w:rsidR="00485006" w:rsidRDefault="004850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FFEE6" w14:textId="77777777" w:rsidR="00557895" w:rsidRDefault="00557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F698" w14:textId="77777777" w:rsidR="00044932" w:rsidRDefault="00044932" w:rsidP="001169A1">
      <w:pPr>
        <w:spacing w:after="0" w:line="240" w:lineRule="auto"/>
      </w:pPr>
      <w:r>
        <w:separator/>
      </w:r>
    </w:p>
  </w:footnote>
  <w:footnote w:type="continuationSeparator" w:id="0">
    <w:p w14:paraId="42F30A1B" w14:textId="77777777" w:rsidR="00044932" w:rsidRDefault="00044932" w:rsidP="001169A1">
      <w:pPr>
        <w:spacing w:after="0" w:line="240" w:lineRule="auto"/>
      </w:pPr>
      <w:r>
        <w:continuationSeparator/>
      </w:r>
    </w:p>
  </w:footnote>
  <w:footnote w:type="continuationNotice" w:id="1">
    <w:p w14:paraId="68EBAC6C" w14:textId="77777777" w:rsidR="00044932" w:rsidRDefault="000449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6729082"/>
    <w:lvl w:ilvl="0">
      <w:start w:val="1"/>
      <w:numFmt w:val="bullet"/>
      <w:pStyle w:val="Heading8"/>
      <w:lvlText w:val=""/>
      <w:lvlJc w:val="left"/>
      <w:pPr>
        <w:tabs>
          <w:tab w:val="num" w:pos="360"/>
        </w:tabs>
        <w:ind w:left="360" w:hanging="360"/>
      </w:pPr>
      <w:rPr>
        <w:rFonts w:ascii="Symbol" w:hAnsi="Symbol" w:hint="default"/>
      </w:rPr>
    </w:lvl>
  </w:abstractNum>
  <w:abstractNum w:abstractNumId="1" w15:restartNumberingAfterBreak="0">
    <w:nsid w:val="079FCDD2"/>
    <w:multiLevelType w:val="hybridMultilevel"/>
    <w:tmpl w:val="5A42199A"/>
    <w:lvl w:ilvl="0" w:tplc="6F9AD1E4">
      <w:start w:val="1"/>
      <w:numFmt w:val="decimal"/>
      <w:lvlText w:val="%1."/>
      <w:lvlJc w:val="left"/>
      <w:pPr>
        <w:ind w:left="720" w:hanging="360"/>
      </w:pPr>
    </w:lvl>
    <w:lvl w:ilvl="1" w:tplc="A74CA250">
      <w:start w:val="1"/>
      <w:numFmt w:val="lowerLetter"/>
      <w:lvlText w:val="%2."/>
      <w:lvlJc w:val="left"/>
      <w:pPr>
        <w:ind w:left="1440" w:hanging="360"/>
      </w:pPr>
    </w:lvl>
    <w:lvl w:ilvl="2" w:tplc="4488A8E6">
      <w:start w:val="1"/>
      <w:numFmt w:val="lowerRoman"/>
      <w:lvlText w:val="%3."/>
      <w:lvlJc w:val="right"/>
      <w:pPr>
        <w:ind w:left="2160" w:hanging="180"/>
      </w:pPr>
    </w:lvl>
    <w:lvl w:ilvl="3" w:tplc="030052DA">
      <w:start w:val="1"/>
      <w:numFmt w:val="decimal"/>
      <w:lvlText w:val="%4."/>
      <w:lvlJc w:val="left"/>
      <w:pPr>
        <w:ind w:left="2880" w:hanging="360"/>
      </w:pPr>
    </w:lvl>
    <w:lvl w:ilvl="4" w:tplc="D206AC04">
      <w:start w:val="1"/>
      <w:numFmt w:val="lowerLetter"/>
      <w:lvlText w:val="%5."/>
      <w:lvlJc w:val="left"/>
      <w:pPr>
        <w:ind w:left="3600" w:hanging="360"/>
      </w:pPr>
    </w:lvl>
    <w:lvl w:ilvl="5" w:tplc="BB30C43E">
      <w:start w:val="1"/>
      <w:numFmt w:val="lowerRoman"/>
      <w:lvlText w:val="%6."/>
      <w:lvlJc w:val="right"/>
      <w:pPr>
        <w:ind w:left="4320" w:hanging="180"/>
      </w:pPr>
    </w:lvl>
    <w:lvl w:ilvl="6" w:tplc="EFEA81E4">
      <w:start w:val="1"/>
      <w:numFmt w:val="decimal"/>
      <w:lvlText w:val="%7."/>
      <w:lvlJc w:val="left"/>
      <w:pPr>
        <w:ind w:left="5040" w:hanging="360"/>
      </w:pPr>
    </w:lvl>
    <w:lvl w:ilvl="7" w:tplc="7D328262">
      <w:start w:val="1"/>
      <w:numFmt w:val="lowerLetter"/>
      <w:lvlText w:val="%8."/>
      <w:lvlJc w:val="left"/>
      <w:pPr>
        <w:ind w:left="5760" w:hanging="360"/>
      </w:pPr>
    </w:lvl>
    <w:lvl w:ilvl="8" w:tplc="6ABC1D5E">
      <w:start w:val="1"/>
      <w:numFmt w:val="lowerRoman"/>
      <w:lvlText w:val="%9."/>
      <w:lvlJc w:val="right"/>
      <w:pPr>
        <w:ind w:left="6480" w:hanging="180"/>
      </w:p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AE14E3"/>
    <w:multiLevelType w:val="hybridMultilevel"/>
    <w:tmpl w:val="E0A6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B49B3"/>
    <w:multiLevelType w:val="hybridMultilevel"/>
    <w:tmpl w:val="A05EBE14"/>
    <w:lvl w:ilvl="0" w:tplc="BAC4A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D1F5C"/>
    <w:multiLevelType w:val="multilevel"/>
    <w:tmpl w:val="880EF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549E099"/>
    <w:multiLevelType w:val="hybridMultilevel"/>
    <w:tmpl w:val="FFFFFFFF"/>
    <w:lvl w:ilvl="0" w:tplc="FA7048E2">
      <w:start w:val="1"/>
      <w:numFmt w:val="bullet"/>
      <w:lvlText w:val="·"/>
      <w:lvlJc w:val="left"/>
      <w:pPr>
        <w:ind w:left="720" w:hanging="360"/>
      </w:pPr>
      <w:rPr>
        <w:rFonts w:ascii="Symbol" w:hAnsi="Symbol" w:hint="default"/>
      </w:rPr>
    </w:lvl>
    <w:lvl w:ilvl="1" w:tplc="92DC87B0">
      <w:start w:val="1"/>
      <w:numFmt w:val="bullet"/>
      <w:lvlText w:val="o"/>
      <w:lvlJc w:val="left"/>
      <w:pPr>
        <w:ind w:left="1440" w:hanging="360"/>
      </w:pPr>
      <w:rPr>
        <w:rFonts w:ascii="Courier New" w:hAnsi="Courier New" w:hint="default"/>
      </w:rPr>
    </w:lvl>
    <w:lvl w:ilvl="2" w:tplc="CD946402">
      <w:start w:val="1"/>
      <w:numFmt w:val="bullet"/>
      <w:lvlText w:val=""/>
      <w:lvlJc w:val="left"/>
      <w:pPr>
        <w:ind w:left="2160" w:hanging="360"/>
      </w:pPr>
      <w:rPr>
        <w:rFonts w:ascii="Wingdings" w:hAnsi="Wingdings" w:hint="default"/>
      </w:rPr>
    </w:lvl>
    <w:lvl w:ilvl="3" w:tplc="1DACB5B2">
      <w:start w:val="1"/>
      <w:numFmt w:val="bullet"/>
      <w:lvlText w:val=""/>
      <w:lvlJc w:val="left"/>
      <w:pPr>
        <w:ind w:left="2880" w:hanging="360"/>
      </w:pPr>
      <w:rPr>
        <w:rFonts w:ascii="Symbol" w:hAnsi="Symbol" w:hint="default"/>
      </w:rPr>
    </w:lvl>
    <w:lvl w:ilvl="4" w:tplc="00367278">
      <w:start w:val="1"/>
      <w:numFmt w:val="bullet"/>
      <w:lvlText w:val="o"/>
      <w:lvlJc w:val="left"/>
      <w:pPr>
        <w:ind w:left="3600" w:hanging="360"/>
      </w:pPr>
      <w:rPr>
        <w:rFonts w:ascii="Courier New" w:hAnsi="Courier New" w:hint="default"/>
      </w:rPr>
    </w:lvl>
    <w:lvl w:ilvl="5" w:tplc="DBA27C88">
      <w:start w:val="1"/>
      <w:numFmt w:val="bullet"/>
      <w:lvlText w:val=""/>
      <w:lvlJc w:val="left"/>
      <w:pPr>
        <w:ind w:left="4320" w:hanging="360"/>
      </w:pPr>
      <w:rPr>
        <w:rFonts w:ascii="Wingdings" w:hAnsi="Wingdings" w:hint="default"/>
      </w:rPr>
    </w:lvl>
    <w:lvl w:ilvl="6" w:tplc="F7308376">
      <w:start w:val="1"/>
      <w:numFmt w:val="bullet"/>
      <w:lvlText w:val=""/>
      <w:lvlJc w:val="left"/>
      <w:pPr>
        <w:ind w:left="5040" w:hanging="360"/>
      </w:pPr>
      <w:rPr>
        <w:rFonts w:ascii="Symbol" w:hAnsi="Symbol" w:hint="default"/>
      </w:rPr>
    </w:lvl>
    <w:lvl w:ilvl="7" w:tplc="DF7065BE">
      <w:start w:val="1"/>
      <w:numFmt w:val="bullet"/>
      <w:lvlText w:val="o"/>
      <w:lvlJc w:val="left"/>
      <w:pPr>
        <w:ind w:left="5760" w:hanging="360"/>
      </w:pPr>
      <w:rPr>
        <w:rFonts w:ascii="Courier New" w:hAnsi="Courier New" w:hint="default"/>
      </w:rPr>
    </w:lvl>
    <w:lvl w:ilvl="8" w:tplc="85DCF282">
      <w:start w:val="1"/>
      <w:numFmt w:val="bullet"/>
      <w:lvlText w:val=""/>
      <w:lvlJc w:val="left"/>
      <w:pPr>
        <w:ind w:left="6480" w:hanging="360"/>
      </w:pPr>
      <w:rPr>
        <w:rFonts w:ascii="Wingdings" w:hAnsi="Wingdings" w:hint="default"/>
      </w:rPr>
    </w:lvl>
  </w:abstractNum>
  <w:abstractNum w:abstractNumId="7" w15:restartNumberingAfterBreak="0">
    <w:nsid w:val="605904E9"/>
    <w:multiLevelType w:val="hybridMultilevel"/>
    <w:tmpl w:val="3FCC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833684">
    <w:abstractNumId w:val="6"/>
  </w:num>
  <w:num w:numId="2" w16cid:durableId="2133472397">
    <w:abstractNumId w:val="0"/>
  </w:num>
  <w:num w:numId="3" w16cid:durableId="487138734">
    <w:abstractNumId w:val="5"/>
  </w:num>
  <w:num w:numId="4" w16cid:durableId="2131119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6675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796053">
    <w:abstractNumId w:val="4"/>
  </w:num>
  <w:num w:numId="7" w16cid:durableId="1650867366">
    <w:abstractNumId w:val="1"/>
  </w:num>
  <w:num w:numId="8" w16cid:durableId="478571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F0"/>
    <w:rsid w:val="0000139B"/>
    <w:rsid w:val="00002632"/>
    <w:rsid w:val="000037CE"/>
    <w:rsid w:val="000039AE"/>
    <w:rsid w:val="00004AB9"/>
    <w:rsid w:val="00005725"/>
    <w:rsid w:val="00005904"/>
    <w:rsid w:val="000106CD"/>
    <w:rsid w:val="00012712"/>
    <w:rsid w:val="00012E42"/>
    <w:rsid w:val="000140FB"/>
    <w:rsid w:val="00014719"/>
    <w:rsid w:val="00014775"/>
    <w:rsid w:val="00014F42"/>
    <w:rsid w:val="00015055"/>
    <w:rsid w:val="00015E7D"/>
    <w:rsid w:val="0001692A"/>
    <w:rsid w:val="00017239"/>
    <w:rsid w:val="000178B6"/>
    <w:rsid w:val="000203C0"/>
    <w:rsid w:val="00020402"/>
    <w:rsid w:val="00021298"/>
    <w:rsid w:val="00021373"/>
    <w:rsid w:val="00022C38"/>
    <w:rsid w:val="00023941"/>
    <w:rsid w:val="00023D36"/>
    <w:rsid w:val="00024403"/>
    <w:rsid w:val="000246D3"/>
    <w:rsid w:val="00025B20"/>
    <w:rsid w:val="0002610D"/>
    <w:rsid w:val="00026DFE"/>
    <w:rsid w:val="000271B0"/>
    <w:rsid w:val="00027876"/>
    <w:rsid w:val="0003012D"/>
    <w:rsid w:val="000302EC"/>
    <w:rsid w:val="00030817"/>
    <w:rsid w:val="000311CE"/>
    <w:rsid w:val="00031F52"/>
    <w:rsid w:val="000320DB"/>
    <w:rsid w:val="000326A6"/>
    <w:rsid w:val="000364F0"/>
    <w:rsid w:val="0003668A"/>
    <w:rsid w:val="00036EBC"/>
    <w:rsid w:val="00037C28"/>
    <w:rsid w:val="00037EAB"/>
    <w:rsid w:val="00037FDE"/>
    <w:rsid w:val="00040132"/>
    <w:rsid w:val="00040F1D"/>
    <w:rsid w:val="0004121D"/>
    <w:rsid w:val="00041B69"/>
    <w:rsid w:val="000431A4"/>
    <w:rsid w:val="00043F74"/>
    <w:rsid w:val="000440B9"/>
    <w:rsid w:val="000445B8"/>
    <w:rsid w:val="00044932"/>
    <w:rsid w:val="00044E2D"/>
    <w:rsid w:val="00044F28"/>
    <w:rsid w:val="00045568"/>
    <w:rsid w:val="00046A79"/>
    <w:rsid w:val="0004758B"/>
    <w:rsid w:val="00047F7A"/>
    <w:rsid w:val="00047FD1"/>
    <w:rsid w:val="000504BB"/>
    <w:rsid w:val="00051A3A"/>
    <w:rsid w:val="00051B87"/>
    <w:rsid w:val="00051DD8"/>
    <w:rsid w:val="00052A5E"/>
    <w:rsid w:val="00052C3C"/>
    <w:rsid w:val="00053238"/>
    <w:rsid w:val="00053AA6"/>
    <w:rsid w:val="0005507C"/>
    <w:rsid w:val="0005513C"/>
    <w:rsid w:val="00055402"/>
    <w:rsid w:val="00055596"/>
    <w:rsid w:val="00055925"/>
    <w:rsid w:val="00056305"/>
    <w:rsid w:val="00057E32"/>
    <w:rsid w:val="00060C02"/>
    <w:rsid w:val="00061FAD"/>
    <w:rsid w:val="000624FE"/>
    <w:rsid w:val="00064FE0"/>
    <w:rsid w:val="00065462"/>
    <w:rsid w:val="00065653"/>
    <w:rsid w:val="00065B05"/>
    <w:rsid w:val="00065C3E"/>
    <w:rsid w:val="00066CA1"/>
    <w:rsid w:val="00067337"/>
    <w:rsid w:val="00067A29"/>
    <w:rsid w:val="00067AB5"/>
    <w:rsid w:val="00067DD9"/>
    <w:rsid w:val="00070C83"/>
    <w:rsid w:val="00070E3E"/>
    <w:rsid w:val="00071432"/>
    <w:rsid w:val="00071BAC"/>
    <w:rsid w:val="0007222B"/>
    <w:rsid w:val="00072BD9"/>
    <w:rsid w:val="00073403"/>
    <w:rsid w:val="00074ECB"/>
    <w:rsid w:val="00075062"/>
    <w:rsid w:val="000750B5"/>
    <w:rsid w:val="000756B6"/>
    <w:rsid w:val="00075B62"/>
    <w:rsid w:val="0007613B"/>
    <w:rsid w:val="00076BC3"/>
    <w:rsid w:val="000772D8"/>
    <w:rsid w:val="000775FB"/>
    <w:rsid w:val="00081D8A"/>
    <w:rsid w:val="000823B8"/>
    <w:rsid w:val="000829E3"/>
    <w:rsid w:val="000832F2"/>
    <w:rsid w:val="00084FA7"/>
    <w:rsid w:val="000855AE"/>
    <w:rsid w:val="00085965"/>
    <w:rsid w:val="00085B15"/>
    <w:rsid w:val="00086CDD"/>
    <w:rsid w:val="00087776"/>
    <w:rsid w:val="000878D7"/>
    <w:rsid w:val="00087F15"/>
    <w:rsid w:val="0009395D"/>
    <w:rsid w:val="00095174"/>
    <w:rsid w:val="000951B8"/>
    <w:rsid w:val="00096612"/>
    <w:rsid w:val="00096FE6"/>
    <w:rsid w:val="000970F5"/>
    <w:rsid w:val="000A13AC"/>
    <w:rsid w:val="000A2D61"/>
    <w:rsid w:val="000A2F08"/>
    <w:rsid w:val="000A407A"/>
    <w:rsid w:val="000A418B"/>
    <w:rsid w:val="000A424F"/>
    <w:rsid w:val="000A433D"/>
    <w:rsid w:val="000A5AA8"/>
    <w:rsid w:val="000A6A16"/>
    <w:rsid w:val="000A738A"/>
    <w:rsid w:val="000A739C"/>
    <w:rsid w:val="000A73DF"/>
    <w:rsid w:val="000A7905"/>
    <w:rsid w:val="000A7CAF"/>
    <w:rsid w:val="000B05E3"/>
    <w:rsid w:val="000B0886"/>
    <w:rsid w:val="000B1107"/>
    <w:rsid w:val="000B304D"/>
    <w:rsid w:val="000B42BC"/>
    <w:rsid w:val="000B42FD"/>
    <w:rsid w:val="000B66A7"/>
    <w:rsid w:val="000B679E"/>
    <w:rsid w:val="000B6A2A"/>
    <w:rsid w:val="000B6D57"/>
    <w:rsid w:val="000B798A"/>
    <w:rsid w:val="000B7A41"/>
    <w:rsid w:val="000C12E3"/>
    <w:rsid w:val="000C19D6"/>
    <w:rsid w:val="000C30AE"/>
    <w:rsid w:val="000C3819"/>
    <w:rsid w:val="000C3D99"/>
    <w:rsid w:val="000C3F39"/>
    <w:rsid w:val="000C4FC5"/>
    <w:rsid w:val="000C57EE"/>
    <w:rsid w:val="000C5B8F"/>
    <w:rsid w:val="000C5DA5"/>
    <w:rsid w:val="000C620D"/>
    <w:rsid w:val="000C68E0"/>
    <w:rsid w:val="000C7C0F"/>
    <w:rsid w:val="000D08BE"/>
    <w:rsid w:val="000D0F1C"/>
    <w:rsid w:val="000D141D"/>
    <w:rsid w:val="000D2146"/>
    <w:rsid w:val="000D216E"/>
    <w:rsid w:val="000D2318"/>
    <w:rsid w:val="000D275F"/>
    <w:rsid w:val="000D2C7D"/>
    <w:rsid w:val="000D2E20"/>
    <w:rsid w:val="000D3309"/>
    <w:rsid w:val="000D3CB2"/>
    <w:rsid w:val="000D5156"/>
    <w:rsid w:val="000D5A06"/>
    <w:rsid w:val="000D5B58"/>
    <w:rsid w:val="000D5CE5"/>
    <w:rsid w:val="000D618C"/>
    <w:rsid w:val="000D63C7"/>
    <w:rsid w:val="000D6450"/>
    <w:rsid w:val="000D6755"/>
    <w:rsid w:val="000D7488"/>
    <w:rsid w:val="000E00B0"/>
    <w:rsid w:val="000E0346"/>
    <w:rsid w:val="000E1736"/>
    <w:rsid w:val="000E2044"/>
    <w:rsid w:val="000E23A4"/>
    <w:rsid w:val="000E2558"/>
    <w:rsid w:val="000E2732"/>
    <w:rsid w:val="000E3385"/>
    <w:rsid w:val="000E343A"/>
    <w:rsid w:val="000E3C59"/>
    <w:rsid w:val="000E3ECF"/>
    <w:rsid w:val="000E4725"/>
    <w:rsid w:val="000E4EC8"/>
    <w:rsid w:val="000E5C64"/>
    <w:rsid w:val="000E7496"/>
    <w:rsid w:val="000E76E0"/>
    <w:rsid w:val="000E78CA"/>
    <w:rsid w:val="000E79F8"/>
    <w:rsid w:val="000E7DBB"/>
    <w:rsid w:val="000F003C"/>
    <w:rsid w:val="000F17AA"/>
    <w:rsid w:val="000F29F0"/>
    <w:rsid w:val="000F2A12"/>
    <w:rsid w:val="000F38D3"/>
    <w:rsid w:val="000F3D64"/>
    <w:rsid w:val="000F3F8C"/>
    <w:rsid w:val="000F45DF"/>
    <w:rsid w:val="000F4729"/>
    <w:rsid w:val="000F5661"/>
    <w:rsid w:val="000F5676"/>
    <w:rsid w:val="000F56FC"/>
    <w:rsid w:val="000F633D"/>
    <w:rsid w:val="000F68D4"/>
    <w:rsid w:val="000F7452"/>
    <w:rsid w:val="000F751A"/>
    <w:rsid w:val="000F7DF9"/>
    <w:rsid w:val="000F7E4F"/>
    <w:rsid w:val="00103B68"/>
    <w:rsid w:val="00103D4E"/>
    <w:rsid w:val="00104173"/>
    <w:rsid w:val="001043B7"/>
    <w:rsid w:val="00104529"/>
    <w:rsid w:val="00106566"/>
    <w:rsid w:val="001070D2"/>
    <w:rsid w:val="00107672"/>
    <w:rsid w:val="00107F5C"/>
    <w:rsid w:val="00110938"/>
    <w:rsid w:val="00110A8D"/>
    <w:rsid w:val="00110E70"/>
    <w:rsid w:val="00111A72"/>
    <w:rsid w:val="00113B0C"/>
    <w:rsid w:val="00114108"/>
    <w:rsid w:val="00114B38"/>
    <w:rsid w:val="00114DC2"/>
    <w:rsid w:val="00115BCE"/>
    <w:rsid w:val="00116235"/>
    <w:rsid w:val="0011623A"/>
    <w:rsid w:val="001169A1"/>
    <w:rsid w:val="00120E4E"/>
    <w:rsid w:val="00121732"/>
    <w:rsid w:val="00122017"/>
    <w:rsid w:val="001222A3"/>
    <w:rsid w:val="001226E1"/>
    <w:rsid w:val="00122D7B"/>
    <w:rsid w:val="001232CE"/>
    <w:rsid w:val="0012387A"/>
    <w:rsid w:val="00123C13"/>
    <w:rsid w:val="00123E7A"/>
    <w:rsid w:val="00123FFC"/>
    <w:rsid w:val="00124514"/>
    <w:rsid w:val="0012505E"/>
    <w:rsid w:val="00125FF3"/>
    <w:rsid w:val="00127775"/>
    <w:rsid w:val="00127A9C"/>
    <w:rsid w:val="00127B51"/>
    <w:rsid w:val="00130388"/>
    <w:rsid w:val="00130951"/>
    <w:rsid w:val="00130966"/>
    <w:rsid w:val="00130CDE"/>
    <w:rsid w:val="0013111A"/>
    <w:rsid w:val="0013163A"/>
    <w:rsid w:val="001318DE"/>
    <w:rsid w:val="0013191A"/>
    <w:rsid w:val="0013195B"/>
    <w:rsid w:val="00131BC0"/>
    <w:rsid w:val="0013306E"/>
    <w:rsid w:val="001331B5"/>
    <w:rsid w:val="001332B8"/>
    <w:rsid w:val="00133413"/>
    <w:rsid w:val="001343D5"/>
    <w:rsid w:val="00135B09"/>
    <w:rsid w:val="00135F7C"/>
    <w:rsid w:val="001360FB"/>
    <w:rsid w:val="001368A4"/>
    <w:rsid w:val="00140383"/>
    <w:rsid w:val="001408D6"/>
    <w:rsid w:val="001419F4"/>
    <w:rsid w:val="00142530"/>
    <w:rsid w:val="001429E8"/>
    <w:rsid w:val="00142A60"/>
    <w:rsid w:val="001448A8"/>
    <w:rsid w:val="0014536C"/>
    <w:rsid w:val="0014582A"/>
    <w:rsid w:val="001461AE"/>
    <w:rsid w:val="0014638A"/>
    <w:rsid w:val="001469AD"/>
    <w:rsid w:val="00147647"/>
    <w:rsid w:val="001500BC"/>
    <w:rsid w:val="0015027D"/>
    <w:rsid w:val="0015053E"/>
    <w:rsid w:val="00150C41"/>
    <w:rsid w:val="0015122F"/>
    <w:rsid w:val="001515D8"/>
    <w:rsid w:val="00151C94"/>
    <w:rsid w:val="0015207F"/>
    <w:rsid w:val="0015216A"/>
    <w:rsid w:val="001527DC"/>
    <w:rsid w:val="001529D9"/>
    <w:rsid w:val="00152EDD"/>
    <w:rsid w:val="001537A1"/>
    <w:rsid w:val="00153D61"/>
    <w:rsid w:val="00154A58"/>
    <w:rsid w:val="00154A75"/>
    <w:rsid w:val="00154E54"/>
    <w:rsid w:val="00155179"/>
    <w:rsid w:val="0015601F"/>
    <w:rsid w:val="0015724C"/>
    <w:rsid w:val="00157256"/>
    <w:rsid w:val="0015768B"/>
    <w:rsid w:val="00161202"/>
    <w:rsid w:val="00161883"/>
    <w:rsid w:val="00161A17"/>
    <w:rsid w:val="00162CED"/>
    <w:rsid w:val="001636A8"/>
    <w:rsid w:val="00163710"/>
    <w:rsid w:val="0016460C"/>
    <w:rsid w:val="00164703"/>
    <w:rsid w:val="00164863"/>
    <w:rsid w:val="00165260"/>
    <w:rsid w:val="00166EC1"/>
    <w:rsid w:val="0016748E"/>
    <w:rsid w:val="00167BCB"/>
    <w:rsid w:val="001701C3"/>
    <w:rsid w:val="00170B2A"/>
    <w:rsid w:val="00170DF9"/>
    <w:rsid w:val="001716BE"/>
    <w:rsid w:val="001717A7"/>
    <w:rsid w:val="00171F7D"/>
    <w:rsid w:val="001722DD"/>
    <w:rsid w:val="00172507"/>
    <w:rsid w:val="00173424"/>
    <w:rsid w:val="00173901"/>
    <w:rsid w:val="001741AE"/>
    <w:rsid w:val="00174CE4"/>
    <w:rsid w:val="00175092"/>
    <w:rsid w:val="001756AE"/>
    <w:rsid w:val="00176B28"/>
    <w:rsid w:val="00181118"/>
    <w:rsid w:val="00181B9C"/>
    <w:rsid w:val="00181CA7"/>
    <w:rsid w:val="00181F62"/>
    <w:rsid w:val="001826D0"/>
    <w:rsid w:val="00182D6C"/>
    <w:rsid w:val="00183524"/>
    <w:rsid w:val="001849C9"/>
    <w:rsid w:val="001873BC"/>
    <w:rsid w:val="001904BB"/>
    <w:rsid w:val="001906B2"/>
    <w:rsid w:val="001913D9"/>
    <w:rsid w:val="0019166B"/>
    <w:rsid w:val="00191B1D"/>
    <w:rsid w:val="00191F88"/>
    <w:rsid w:val="00192655"/>
    <w:rsid w:val="00193922"/>
    <w:rsid w:val="001940DD"/>
    <w:rsid w:val="001941A1"/>
    <w:rsid w:val="00194497"/>
    <w:rsid w:val="0019475E"/>
    <w:rsid w:val="00195277"/>
    <w:rsid w:val="00195625"/>
    <w:rsid w:val="001969E0"/>
    <w:rsid w:val="00196C7F"/>
    <w:rsid w:val="001972AB"/>
    <w:rsid w:val="001977AA"/>
    <w:rsid w:val="00197D0A"/>
    <w:rsid w:val="001A00AC"/>
    <w:rsid w:val="001A06AE"/>
    <w:rsid w:val="001A095D"/>
    <w:rsid w:val="001A0E56"/>
    <w:rsid w:val="001A2631"/>
    <w:rsid w:val="001A31EF"/>
    <w:rsid w:val="001A4525"/>
    <w:rsid w:val="001A463E"/>
    <w:rsid w:val="001A59E4"/>
    <w:rsid w:val="001A5A62"/>
    <w:rsid w:val="001A5A82"/>
    <w:rsid w:val="001A6178"/>
    <w:rsid w:val="001A62B6"/>
    <w:rsid w:val="001A69B1"/>
    <w:rsid w:val="001A6AE8"/>
    <w:rsid w:val="001A7079"/>
    <w:rsid w:val="001A7427"/>
    <w:rsid w:val="001A74D3"/>
    <w:rsid w:val="001A76EA"/>
    <w:rsid w:val="001B142E"/>
    <w:rsid w:val="001B1602"/>
    <w:rsid w:val="001B1E6F"/>
    <w:rsid w:val="001B2D30"/>
    <w:rsid w:val="001B2DA1"/>
    <w:rsid w:val="001B3011"/>
    <w:rsid w:val="001B428F"/>
    <w:rsid w:val="001B4FED"/>
    <w:rsid w:val="001B6DF0"/>
    <w:rsid w:val="001B77F8"/>
    <w:rsid w:val="001C018E"/>
    <w:rsid w:val="001C0689"/>
    <w:rsid w:val="001C133A"/>
    <w:rsid w:val="001C1829"/>
    <w:rsid w:val="001C1AD5"/>
    <w:rsid w:val="001C1D4E"/>
    <w:rsid w:val="001C227A"/>
    <w:rsid w:val="001C296C"/>
    <w:rsid w:val="001C2EAF"/>
    <w:rsid w:val="001C2EC4"/>
    <w:rsid w:val="001C387E"/>
    <w:rsid w:val="001C3B01"/>
    <w:rsid w:val="001C4648"/>
    <w:rsid w:val="001C4E0F"/>
    <w:rsid w:val="001C4F2E"/>
    <w:rsid w:val="001C5A16"/>
    <w:rsid w:val="001C5AA5"/>
    <w:rsid w:val="001C5DFF"/>
    <w:rsid w:val="001C5F93"/>
    <w:rsid w:val="001C6309"/>
    <w:rsid w:val="001C706D"/>
    <w:rsid w:val="001C7DB6"/>
    <w:rsid w:val="001D19B4"/>
    <w:rsid w:val="001D27FA"/>
    <w:rsid w:val="001D2E61"/>
    <w:rsid w:val="001D38E8"/>
    <w:rsid w:val="001D4D6B"/>
    <w:rsid w:val="001D597E"/>
    <w:rsid w:val="001D5AEB"/>
    <w:rsid w:val="001D64DC"/>
    <w:rsid w:val="001D6B3D"/>
    <w:rsid w:val="001D72E5"/>
    <w:rsid w:val="001D73A8"/>
    <w:rsid w:val="001D74A8"/>
    <w:rsid w:val="001D7E5F"/>
    <w:rsid w:val="001D7F51"/>
    <w:rsid w:val="001E009F"/>
    <w:rsid w:val="001E0B4A"/>
    <w:rsid w:val="001E0E70"/>
    <w:rsid w:val="001E10C1"/>
    <w:rsid w:val="001E13E7"/>
    <w:rsid w:val="001E3462"/>
    <w:rsid w:val="001E424D"/>
    <w:rsid w:val="001E4337"/>
    <w:rsid w:val="001E46CD"/>
    <w:rsid w:val="001E4E8E"/>
    <w:rsid w:val="001E4FDC"/>
    <w:rsid w:val="001E5321"/>
    <w:rsid w:val="001E6D3E"/>
    <w:rsid w:val="001E762D"/>
    <w:rsid w:val="001F085C"/>
    <w:rsid w:val="001F24F0"/>
    <w:rsid w:val="001F2BC0"/>
    <w:rsid w:val="001F3E09"/>
    <w:rsid w:val="001F4195"/>
    <w:rsid w:val="001F42AA"/>
    <w:rsid w:val="001F4B67"/>
    <w:rsid w:val="001F4FCF"/>
    <w:rsid w:val="001F5CF0"/>
    <w:rsid w:val="001F6DAC"/>
    <w:rsid w:val="001F7601"/>
    <w:rsid w:val="001F76E3"/>
    <w:rsid w:val="0020203C"/>
    <w:rsid w:val="00202D61"/>
    <w:rsid w:val="0020303B"/>
    <w:rsid w:val="0020379E"/>
    <w:rsid w:val="00204F92"/>
    <w:rsid w:val="00204FD8"/>
    <w:rsid w:val="0020502D"/>
    <w:rsid w:val="00205AA3"/>
    <w:rsid w:val="002062B3"/>
    <w:rsid w:val="00206769"/>
    <w:rsid w:val="0020777D"/>
    <w:rsid w:val="00207801"/>
    <w:rsid w:val="0021108B"/>
    <w:rsid w:val="00211235"/>
    <w:rsid w:val="00211A2B"/>
    <w:rsid w:val="00211E29"/>
    <w:rsid w:val="00212479"/>
    <w:rsid w:val="00212DAD"/>
    <w:rsid w:val="00212EE5"/>
    <w:rsid w:val="00213163"/>
    <w:rsid w:val="00214618"/>
    <w:rsid w:val="002149A8"/>
    <w:rsid w:val="00214EE3"/>
    <w:rsid w:val="00215399"/>
    <w:rsid w:val="0021586C"/>
    <w:rsid w:val="00215C68"/>
    <w:rsid w:val="00215F44"/>
    <w:rsid w:val="002165BF"/>
    <w:rsid w:val="00216F31"/>
    <w:rsid w:val="00217052"/>
    <w:rsid w:val="002200C1"/>
    <w:rsid w:val="0022029C"/>
    <w:rsid w:val="002217F3"/>
    <w:rsid w:val="00222C63"/>
    <w:rsid w:val="00222F73"/>
    <w:rsid w:val="002236C8"/>
    <w:rsid w:val="00223D99"/>
    <w:rsid w:val="00224519"/>
    <w:rsid w:val="00224D83"/>
    <w:rsid w:val="00224FCB"/>
    <w:rsid w:val="002252AF"/>
    <w:rsid w:val="002253B7"/>
    <w:rsid w:val="002253BB"/>
    <w:rsid w:val="00225420"/>
    <w:rsid w:val="002267E6"/>
    <w:rsid w:val="00226B67"/>
    <w:rsid w:val="00226DC0"/>
    <w:rsid w:val="00227BF8"/>
    <w:rsid w:val="002305FE"/>
    <w:rsid w:val="00230849"/>
    <w:rsid w:val="002314E9"/>
    <w:rsid w:val="002333BD"/>
    <w:rsid w:val="0023410A"/>
    <w:rsid w:val="0023486A"/>
    <w:rsid w:val="0023583A"/>
    <w:rsid w:val="00235B99"/>
    <w:rsid w:val="00236C4D"/>
    <w:rsid w:val="00240618"/>
    <w:rsid w:val="00240BC9"/>
    <w:rsid w:val="00240F2C"/>
    <w:rsid w:val="00242CB6"/>
    <w:rsid w:val="00242F7F"/>
    <w:rsid w:val="00242FBA"/>
    <w:rsid w:val="00243427"/>
    <w:rsid w:val="0024386C"/>
    <w:rsid w:val="00243DA7"/>
    <w:rsid w:val="00244142"/>
    <w:rsid w:val="00244143"/>
    <w:rsid w:val="0024423A"/>
    <w:rsid w:val="002447EC"/>
    <w:rsid w:val="00245387"/>
    <w:rsid w:val="002456A4"/>
    <w:rsid w:val="00245F1C"/>
    <w:rsid w:val="002460DF"/>
    <w:rsid w:val="0024676B"/>
    <w:rsid w:val="00246E82"/>
    <w:rsid w:val="00247101"/>
    <w:rsid w:val="0024711B"/>
    <w:rsid w:val="00247713"/>
    <w:rsid w:val="00251A82"/>
    <w:rsid w:val="00251AF9"/>
    <w:rsid w:val="00251CAA"/>
    <w:rsid w:val="00251DC0"/>
    <w:rsid w:val="00251F84"/>
    <w:rsid w:val="0025284B"/>
    <w:rsid w:val="00252B45"/>
    <w:rsid w:val="00253056"/>
    <w:rsid w:val="00253447"/>
    <w:rsid w:val="00253A5F"/>
    <w:rsid w:val="002541D2"/>
    <w:rsid w:val="002548A0"/>
    <w:rsid w:val="00254F50"/>
    <w:rsid w:val="00255229"/>
    <w:rsid w:val="00255FE3"/>
    <w:rsid w:val="0025611B"/>
    <w:rsid w:val="00256309"/>
    <w:rsid w:val="002564BA"/>
    <w:rsid w:val="00256BC2"/>
    <w:rsid w:val="00257539"/>
    <w:rsid w:val="0026023A"/>
    <w:rsid w:val="00260252"/>
    <w:rsid w:val="0026091E"/>
    <w:rsid w:val="0026122A"/>
    <w:rsid w:val="0026193F"/>
    <w:rsid w:val="00261A16"/>
    <w:rsid w:val="0026242E"/>
    <w:rsid w:val="00262612"/>
    <w:rsid w:val="00264CCF"/>
    <w:rsid w:val="002655D1"/>
    <w:rsid w:val="00265E41"/>
    <w:rsid w:val="00266E20"/>
    <w:rsid w:val="00266EC4"/>
    <w:rsid w:val="00266FC1"/>
    <w:rsid w:val="00266FE0"/>
    <w:rsid w:val="002675CC"/>
    <w:rsid w:val="0026794D"/>
    <w:rsid w:val="002712BF"/>
    <w:rsid w:val="0027151A"/>
    <w:rsid w:val="00271747"/>
    <w:rsid w:val="00271ACB"/>
    <w:rsid w:val="002720B3"/>
    <w:rsid w:val="002727FF"/>
    <w:rsid w:val="00272C36"/>
    <w:rsid w:val="00272C47"/>
    <w:rsid w:val="00272DAA"/>
    <w:rsid w:val="002734B5"/>
    <w:rsid w:val="00273F29"/>
    <w:rsid w:val="00274AE9"/>
    <w:rsid w:val="00275023"/>
    <w:rsid w:val="002756D2"/>
    <w:rsid w:val="00275AD3"/>
    <w:rsid w:val="00275C93"/>
    <w:rsid w:val="00276662"/>
    <w:rsid w:val="00276DFE"/>
    <w:rsid w:val="0027729A"/>
    <w:rsid w:val="00280213"/>
    <w:rsid w:val="00280B57"/>
    <w:rsid w:val="00280F6E"/>
    <w:rsid w:val="00281881"/>
    <w:rsid w:val="002821C4"/>
    <w:rsid w:val="00282C83"/>
    <w:rsid w:val="00282ED2"/>
    <w:rsid w:val="00284EC5"/>
    <w:rsid w:val="00287235"/>
    <w:rsid w:val="00287434"/>
    <w:rsid w:val="0029081D"/>
    <w:rsid w:val="00291B9C"/>
    <w:rsid w:val="00291CCB"/>
    <w:rsid w:val="00293373"/>
    <w:rsid w:val="0029390D"/>
    <w:rsid w:val="00293CE6"/>
    <w:rsid w:val="002951A3"/>
    <w:rsid w:val="00295951"/>
    <w:rsid w:val="00295B31"/>
    <w:rsid w:val="00295CF2"/>
    <w:rsid w:val="00296609"/>
    <w:rsid w:val="002976D3"/>
    <w:rsid w:val="002A06B2"/>
    <w:rsid w:val="002A0996"/>
    <w:rsid w:val="002A152E"/>
    <w:rsid w:val="002A18F8"/>
    <w:rsid w:val="002A2343"/>
    <w:rsid w:val="002A2DB3"/>
    <w:rsid w:val="002A2F7C"/>
    <w:rsid w:val="002A3255"/>
    <w:rsid w:val="002A476A"/>
    <w:rsid w:val="002A575E"/>
    <w:rsid w:val="002A5C38"/>
    <w:rsid w:val="002A6F56"/>
    <w:rsid w:val="002B0160"/>
    <w:rsid w:val="002B05C6"/>
    <w:rsid w:val="002B0EFF"/>
    <w:rsid w:val="002B1A52"/>
    <w:rsid w:val="002B1FC7"/>
    <w:rsid w:val="002B21CC"/>
    <w:rsid w:val="002B2947"/>
    <w:rsid w:val="002B2AA2"/>
    <w:rsid w:val="002B2BEF"/>
    <w:rsid w:val="002B304E"/>
    <w:rsid w:val="002B3FEF"/>
    <w:rsid w:val="002B4539"/>
    <w:rsid w:val="002B4AEE"/>
    <w:rsid w:val="002B4D3C"/>
    <w:rsid w:val="002B4F67"/>
    <w:rsid w:val="002B66AD"/>
    <w:rsid w:val="002B67F3"/>
    <w:rsid w:val="002B6F6D"/>
    <w:rsid w:val="002B7842"/>
    <w:rsid w:val="002C000C"/>
    <w:rsid w:val="002C03B7"/>
    <w:rsid w:val="002C07D4"/>
    <w:rsid w:val="002C08AE"/>
    <w:rsid w:val="002C0AAA"/>
    <w:rsid w:val="002C193A"/>
    <w:rsid w:val="002C1B18"/>
    <w:rsid w:val="002C23C7"/>
    <w:rsid w:val="002C248E"/>
    <w:rsid w:val="002C2F94"/>
    <w:rsid w:val="002C3A64"/>
    <w:rsid w:val="002C3FD4"/>
    <w:rsid w:val="002C4D8C"/>
    <w:rsid w:val="002C54EC"/>
    <w:rsid w:val="002C56BE"/>
    <w:rsid w:val="002C581A"/>
    <w:rsid w:val="002C5ED3"/>
    <w:rsid w:val="002C6EEF"/>
    <w:rsid w:val="002C710B"/>
    <w:rsid w:val="002C7810"/>
    <w:rsid w:val="002C7BFF"/>
    <w:rsid w:val="002C7E8E"/>
    <w:rsid w:val="002D12E6"/>
    <w:rsid w:val="002D13A8"/>
    <w:rsid w:val="002D2AB0"/>
    <w:rsid w:val="002D34F4"/>
    <w:rsid w:val="002D43A4"/>
    <w:rsid w:val="002D4B6F"/>
    <w:rsid w:val="002D4F78"/>
    <w:rsid w:val="002D5C66"/>
    <w:rsid w:val="002D5FF6"/>
    <w:rsid w:val="002D6B0E"/>
    <w:rsid w:val="002D7AA4"/>
    <w:rsid w:val="002D7FC1"/>
    <w:rsid w:val="002E006A"/>
    <w:rsid w:val="002E101B"/>
    <w:rsid w:val="002E1118"/>
    <w:rsid w:val="002E2022"/>
    <w:rsid w:val="002E212A"/>
    <w:rsid w:val="002E25A7"/>
    <w:rsid w:val="002E2A32"/>
    <w:rsid w:val="002E2B0A"/>
    <w:rsid w:val="002E2CF1"/>
    <w:rsid w:val="002E33CB"/>
    <w:rsid w:val="002E3A2E"/>
    <w:rsid w:val="002E3BC8"/>
    <w:rsid w:val="002E3D1F"/>
    <w:rsid w:val="002E43ED"/>
    <w:rsid w:val="002E5211"/>
    <w:rsid w:val="002E5421"/>
    <w:rsid w:val="002E56E4"/>
    <w:rsid w:val="002E652B"/>
    <w:rsid w:val="002E69DB"/>
    <w:rsid w:val="002E69FF"/>
    <w:rsid w:val="002E701A"/>
    <w:rsid w:val="002E705D"/>
    <w:rsid w:val="002E7D97"/>
    <w:rsid w:val="002F0D68"/>
    <w:rsid w:val="002F1103"/>
    <w:rsid w:val="002F1FE4"/>
    <w:rsid w:val="002F2655"/>
    <w:rsid w:val="002F3A4F"/>
    <w:rsid w:val="002F4B15"/>
    <w:rsid w:val="002F5001"/>
    <w:rsid w:val="002F5484"/>
    <w:rsid w:val="002F58CA"/>
    <w:rsid w:val="002F63D6"/>
    <w:rsid w:val="002F6B6B"/>
    <w:rsid w:val="002F6C57"/>
    <w:rsid w:val="002F6D71"/>
    <w:rsid w:val="002F6FB0"/>
    <w:rsid w:val="002F7024"/>
    <w:rsid w:val="002F7189"/>
    <w:rsid w:val="002F7B8A"/>
    <w:rsid w:val="003001E4"/>
    <w:rsid w:val="00300732"/>
    <w:rsid w:val="003008E4"/>
    <w:rsid w:val="0030127E"/>
    <w:rsid w:val="00303128"/>
    <w:rsid w:val="00303417"/>
    <w:rsid w:val="00304862"/>
    <w:rsid w:val="00305814"/>
    <w:rsid w:val="0030592E"/>
    <w:rsid w:val="00305A29"/>
    <w:rsid w:val="003063A4"/>
    <w:rsid w:val="00310E0A"/>
    <w:rsid w:val="00312384"/>
    <w:rsid w:val="0031247E"/>
    <w:rsid w:val="00313944"/>
    <w:rsid w:val="00313A9B"/>
    <w:rsid w:val="00315488"/>
    <w:rsid w:val="00316385"/>
    <w:rsid w:val="00317280"/>
    <w:rsid w:val="00317A78"/>
    <w:rsid w:val="00320594"/>
    <w:rsid w:val="00324711"/>
    <w:rsid w:val="00324CE0"/>
    <w:rsid w:val="00324DC7"/>
    <w:rsid w:val="00325905"/>
    <w:rsid w:val="00326800"/>
    <w:rsid w:val="00326A13"/>
    <w:rsid w:val="00326DEF"/>
    <w:rsid w:val="00327942"/>
    <w:rsid w:val="00327A96"/>
    <w:rsid w:val="003313D2"/>
    <w:rsid w:val="003321B6"/>
    <w:rsid w:val="00332C30"/>
    <w:rsid w:val="00332D62"/>
    <w:rsid w:val="003332EF"/>
    <w:rsid w:val="00333CD7"/>
    <w:rsid w:val="00334835"/>
    <w:rsid w:val="0033497B"/>
    <w:rsid w:val="00334D1F"/>
    <w:rsid w:val="00334F06"/>
    <w:rsid w:val="00335549"/>
    <w:rsid w:val="003365C9"/>
    <w:rsid w:val="00336C52"/>
    <w:rsid w:val="003370FE"/>
    <w:rsid w:val="0033730A"/>
    <w:rsid w:val="00340810"/>
    <w:rsid w:val="00340AF3"/>
    <w:rsid w:val="0034105B"/>
    <w:rsid w:val="00341721"/>
    <w:rsid w:val="00341D51"/>
    <w:rsid w:val="0034217F"/>
    <w:rsid w:val="00342784"/>
    <w:rsid w:val="00342957"/>
    <w:rsid w:val="003429EE"/>
    <w:rsid w:val="00342DA7"/>
    <w:rsid w:val="00342F76"/>
    <w:rsid w:val="003430F0"/>
    <w:rsid w:val="003445D3"/>
    <w:rsid w:val="003454B0"/>
    <w:rsid w:val="00345C19"/>
    <w:rsid w:val="00346FFA"/>
    <w:rsid w:val="003471F7"/>
    <w:rsid w:val="00347307"/>
    <w:rsid w:val="00347547"/>
    <w:rsid w:val="00347ABE"/>
    <w:rsid w:val="00350561"/>
    <w:rsid w:val="00350864"/>
    <w:rsid w:val="00350CB5"/>
    <w:rsid w:val="00350F97"/>
    <w:rsid w:val="003512F6"/>
    <w:rsid w:val="00351499"/>
    <w:rsid w:val="003529AA"/>
    <w:rsid w:val="003531CD"/>
    <w:rsid w:val="00353C90"/>
    <w:rsid w:val="00354679"/>
    <w:rsid w:val="003547D5"/>
    <w:rsid w:val="00355211"/>
    <w:rsid w:val="003563CA"/>
    <w:rsid w:val="00356E6D"/>
    <w:rsid w:val="00356F35"/>
    <w:rsid w:val="003574B3"/>
    <w:rsid w:val="0035763A"/>
    <w:rsid w:val="00360504"/>
    <w:rsid w:val="00360513"/>
    <w:rsid w:val="003606E4"/>
    <w:rsid w:val="0036083C"/>
    <w:rsid w:val="00361F2A"/>
    <w:rsid w:val="00363252"/>
    <w:rsid w:val="003636D6"/>
    <w:rsid w:val="00364904"/>
    <w:rsid w:val="00364F3A"/>
    <w:rsid w:val="00365572"/>
    <w:rsid w:val="0036576A"/>
    <w:rsid w:val="00365B77"/>
    <w:rsid w:val="00365F39"/>
    <w:rsid w:val="003677BE"/>
    <w:rsid w:val="00367886"/>
    <w:rsid w:val="003678D4"/>
    <w:rsid w:val="00367F5D"/>
    <w:rsid w:val="00370073"/>
    <w:rsid w:val="003700FC"/>
    <w:rsid w:val="0037132A"/>
    <w:rsid w:val="0037283D"/>
    <w:rsid w:val="00372E4A"/>
    <w:rsid w:val="003740E7"/>
    <w:rsid w:val="00375106"/>
    <w:rsid w:val="00375A7D"/>
    <w:rsid w:val="00376627"/>
    <w:rsid w:val="003766BE"/>
    <w:rsid w:val="003773E0"/>
    <w:rsid w:val="003776FC"/>
    <w:rsid w:val="00377CBA"/>
    <w:rsid w:val="00381021"/>
    <w:rsid w:val="003810AF"/>
    <w:rsid w:val="003810C5"/>
    <w:rsid w:val="00381215"/>
    <w:rsid w:val="00382098"/>
    <w:rsid w:val="00382706"/>
    <w:rsid w:val="00382E3D"/>
    <w:rsid w:val="00383677"/>
    <w:rsid w:val="00383A37"/>
    <w:rsid w:val="00384710"/>
    <w:rsid w:val="00385825"/>
    <w:rsid w:val="00386AFB"/>
    <w:rsid w:val="003876DE"/>
    <w:rsid w:val="00387B6C"/>
    <w:rsid w:val="003906DD"/>
    <w:rsid w:val="0039150C"/>
    <w:rsid w:val="00391667"/>
    <w:rsid w:val="0039213F"/>
    <w:rsid w:val="00392494"/>
    <w:rsid w:val="003928CC"/>
    <w:rsid w:val="00392B58"/>
    <w:rsid w:val="00394447"/>
    <w:rsid w:val="00394650"/>
    <w:rsid w:val="0039478C"/>
    <w:rsid w:val="003950A7"/>
    <w:rsid w:val="00397FCC"/>
    <w:rsid w:val="003A0525"/>
    <w:rsid w:val="003A1145"/>
    <w:rsid w:val="003A153B"/>
    <w:rsid w:val="003A1DF6"/>
    <w:rsid w:val="003A2A9E"/>
    <w:rsid w:val="003A33F9"/>
    <w:rsid w:val="003A36C4"/>
    <w:rsid w:val="003A40FB"/>
    <w:rsid w:val="003A44C2"/>
    <w:rsid w:val="003A5054"/>
    <w:rsid w:val="003A5904"/>
    <w:rsid w:val="003A6622"/>
    <w:rsid w:val="003A760F"/>
    <w:rsid w:val="003A7833"/>
    <w:rsid w:val="003A79FA"/>
    <w:rsid w:val="003B01C0"/>
    <w:rsid w:val="003B060C"/>
    <w:rsid w:val="003B15EF"/>
    <w:rsid w:val="003B15F0"/>
    <w:rsid w:val="003B180B"/>
    <w:rsid w:val="003B1C82"/>
    <w:rsid w:val="003B263D"/>
    <w:rsid w:val="003B2BFF"/>
    <w:rsid w:val="003B3A11"/>
    <w:rsid w:val="003B3D72"/>
    <w:rsid w:val="003B4135"/>
    <w:rsid w:val="003B44DC"/>
    <w:rsid w:val="003B4540"/>
    <w:rsid w:val="003B4C2E"/>
    <w:rsid w:val="003B5130"/>
    <w:rsid w:val="003B56DD"/>
    <w:rsid w:val="003B5A23"/>
    <w:rsid w:val="003B5A38"/>
    <w:rsid w:val="003B5BAE"/>
    <w:rsid w:val="003B6778"/>
    <w:rsid w:val="003B6BCC"/>
    <w:rsid w:val="003B7319"/>
    <w:rsid w:val="003B733A"/>
    <w:rsid w:val="003C001B"/>
    <w:rsid w:val="003C0359"/>
    <w:rsid w:val="003C201F"/>
    <w:rsid w:val="003C277D"/>
    <w:rsid w:val="003C2F4E"/>
    <w:rsid w:val="003C3096"/>
    <w:rsid w:val="003C4663"/>
    <w:rsid w:val="003C47C2"/>
    <w:rsid w:val="003C48F0"/>
    <w:rsid w:val="003C582A"/>
    <w:rsid w:val="003C6DB1"/>
    <w:rsid w:val="003C7C6F"/>
    <w:rsid w:val="003D0407"/>
    <w:rsid w:val="003D0A38"/>
    <w:rsid w:val="003D0BFD"/>
    <w:rsid w:val="003D151D"/>
    <w:rsid w:val="003D1C53"/>
    <w:rsid w:val="003D1D4D"/>
    <w:rsid w:val="003D2228"/>
    <w:rsid w:val="003D250D"/>
    <w:rsid w:val="003D2704"/>
    <w:rsid w:val="003D2B5D"/>
    <w:rsid w:val="003D2E03"/>
    <w:rsid w:val="003D3FB0"/>
    <w:rsid w:val="003D5D8B"/>
    <w:rsid w:val="003D6367"/>
    <w:rsid w:val="003D69FA"/>
    <w:rsid w:val="003D6DA2"/>
    <w:rsid w:val="003D702E"/>
    <w:rsid w:val="003D7636"/>
    <w:rsid w:val="003E074F"/>
    <w:rsid w:val="003E20F2"/>
    <w:rsid w:val="003E3143"/>
    <w:rsid w:val="003E3486"/>
    <w:rsid w:val="003E428A"/>
    <w:rsid w:val="003E4C6E"/>
    <w:rsid w:val="003E4C93"/>
    <w:rsid w:val="003E5878"/>
    <w:rsid w:val="003E5B3D"/>
    <w:rsid w:val="003E5D68"/>
    <w:rsid w:val="003E66AB"/>
    <w:rsid w:val="003E6CA4"/>
    <w:rsid w:val="003E7270"/>
    <w:rsid w:val="003E7748"/>
    <w:rsid w:val="003E7A59"/>
    <w:rsid w:val="003F0477"/>
    <w:rsid w:val="003F0509"/>
    <w:rsid w:val="003F0684"/>
    <w:rsid w:val="003F06A2"/>
    <w:rsid w:val="003F0769"/>
    <w:rsid w:val="003F088D"/>
    <w:rsid w:val="003F0897"/>
    <w:rsid w:val="003F3422"/>
    <w:rsid w:val="003F5C47"/>
    <w:rsid w:val="003F5D51"/>
    <w:rsid w:val="003F6CDB"/>
    <w:rsid w:val="003F7219"/>
    <w:rsid w:val="003F7F1B"/>
    <w:rsid w:val="00400732"/>
    <w:rsid w:val="004011BA"/>
    <w:rsid w:val="004015C3"/>
    <w:rsid w:val="00401CCE"/>
    <w:rsid w:val="00401D35"/>
    <w:rsid w:val="004023F9"/>
    <w:rsid w:val="00402444"/>
    <w:rsid w:val="00402938"/>
    <w:rsid w:val="0040294E"/>
    <w:rsid w:val="00402D62"/>
    <w:rsid w:val="00402ED3"/>
    <w:rsid w:val="0040364A"/>
    <w:rsid w:val="004046F4"/>
    <w:rsid w:val="00404A35"/>
    <w:rsid w:val="00405103"/>
    <w:rsid w:val="00405EEF"/>
    <w:rsid w:val="00406E2B"/>
    <w:rsid w:val="004109DC"/>
    <w:rsid w:val="004112D0"/>
    <w:rsid w:val="0041146A"/>
    <w:rsid w:val="00414422"/>
    <w:rsid w:val="00414819"/>
    <w:rsid w:val="004150FF"/>
    <w:rsid w:val="00415411"/>
    <w:rsid w:val="0041587B"/>
    <w:rsid w:val="00415B37"/>
    <w:rsid w:val="0041608B"/>
    <w:rsid w:val="004161A9"/>
    <w:rsid w:val="004163E0"/>
    <w:rsid w:val="00416A04"/>
    <w:rsid w:val="00416CEF"/>
    <w:rsid w:val="004173EF"/>
    <w:rsid w:val="00420606"/>
    <w:rsid w:val="00420845"/>
    <w:rsid w:val="00421297"/>
    <w:rsid w:val="00421EA8"/>
    <w:rsid w:val="00421EC5"/>
    <w:rsid w:val="00422C19"/>
    <w:rsid w:val="00422D4B"/>
    <w:rsid w:val="0042351E"/>
    <w:rsid w:val="00424740"/>
    <w:rsid w:val="004248C6"/>
    <w:rsid w:val="00424C90"/>
    <w:rsid w:val="00425F0B"/>
    <w:rsid w:val="00426A69"/>
    <w:rsid w:val="004271F5"/>
    <w:rsid w:val="0043034F"/>
    <w:rsid w:val="004308B2"/>
    <w:rsid w:val="00430C94"/>
    <w:rsid w:val="00431266"/>
    <w:rsid w:val="004319B7"/>
    <w:rsid w:val="00431BA7"/>
    <w:rsid w:val="00431C2F"/>
    <w:rsid w:val="00431E22"/>
    <w:rsid w:val="00431E98"/>
    <w:rsid w:val="00431EE6"/>
    <w:rsid w:val="00432EE3"/>
    <w:rsid w:val="004330CD"/>
    <w:rsid w:val="004331B8"/>
    <w:rsid w:val="004334DD"/>
    <w:rsid w:val="004336D6"/>
    <w:rsid w:val="00433AF7"/>
    <w:rsid w:val="00433FB1"/>
    <w:rsid w:val="00434683"/>
    <w:rsid w:val="00434919"/>
    <w:rsid w:val="00435167"/>
    <w:rsid w:val="00435DF6"/>
    <w:rsid w:val="00436F50"/>
    <w:rsid w:val="00437132"/>
    <w:rsid w:val="00440B23"/>
    <w:rsid w:val="00440DD6"/>
    <w:rsid w:val="00441780"/>
    <w:rsid w:val="00442F2D"/>
    <w:rsid w:val="00444592"/>
    <w:rsid w:val="00445AE2"/>
    <w:rsid w:val="00446510"/>
    <w:rsid w:val="004467E7"/>
    <w:rsid w:val="004475BB"/>
    <w:rsid w:val="00450490"/>
    <w:rsid w:val="00450ABA"/>
    <w:rsid w:val="00451F56"/>
    <w:rsid w:val="00452982"/>
    <w:rsid w:val="0045316D"/>
    <w:rsid w:val="00454126"/>
    <w:rsid w:val="0045477A"/>
    <w:rsid w:val="004548D9"/>
    <w:rsid w:val="00454D5B"/>
    <w:rsid w:val="00455491"/>
    <w:rsid w:val="00455DBE"/>
    <w:rsid w:val="0045640E"/>
    <w:rsid w:val="0046023A"/>
    <w:rsid w:val="00461AEB"/>
    <w:rsid w:val="00461BCD"/>
    <w:rsid w:val="0046267E"/>
    <w:rsid w:val="00462C06"/>
    <w:rsid w:val="00463835"/>
    <w:rsid w:val="00463C38"/>
    <w:rsid w:val="00464842"/>
    <w:rsid w:val="00465015"/>
    <w:rsid w:val="004656D6"/>
    <w:rsid w:val="00465AC1"/>
    <w:rsid w:val="00465AE6"/>
    <w:rsid w:val="00465BA8"/>
    <w:rsid w:val="00465D17"/>
    <w:rsid w:val="004705B4"/>
    <w:rsid w:val="00470EC3"/>
    <w:rsid w:val="00471027"/>
    <w:rsid w:val="004716D5"/>
    <w:rsid w:val="004719C0"/>
    <w:rsid w:val="00471B0C"/>
    <w:rsid w:val="004723F7"/>
    <w:rsid w:val="004739BB"/>
    <w:rsid w:val="00474D54"/>
    <w:rsid w:val="00475617"/>
    <w:rsid w:val="004761B0"/>
    <w:rsid w:val="004769DE"/>
    <w:rsid w:val="004777CF"/>
    <w:rsid w:val="00477810"/>
    <w:rsid w:val="00477E22"/>
    <w:rsid w:val="00480766"/>
    <w:rsid w:val="00480D27"/>
    <w:rsid w:val="00481660"/>
    <w:rsid w:val="00482F8A"/>
    <w:rsid w:val="004831E8"/>
    <w:rsid w:val="004837C6"/>
    <w:rsid w:val="004838F1"/>
    <w:rsid w:val="00483B4C"/>
    <w:rsid w:val="00485006"/>
    <w:rsid w:val="004850BA"/>
    <w:rsid w:val="004851FF"/>
    <w:rsid w:val="00485F3D"/>
    <w:rsid w:val="0048632E"/>
    <w:rsid w:val="0048678C"/>
    <w:rsid w:val="00486963"/>
    <w:rsid w:val="00486B81"/>
    <w:rsid w:val="004875F9"/>
    <w:rsid w:val="00490892"/>
    <w:rsid w:val="00490BCD"/>
    <w:rsid w:val="004930F2"/>
    <w:rsid w:val="00493A50"/>
    <w:rsid w:val="00493C6C"/>
    <w:rsid w:val="004942F2"/>
    <w:rsid w:val="00494DCC"/>
    <w:rsid w:val="00495468"/>
    <w:rsid w:val="00495E1D"/>
    <w:rsid w:val="00496AC0"/>
    <w:rsid w:val="00496CB5"/>
    <w:rsid w:val="00497EBF"/>
    <w:rsid w:val="004A0844"/>
    <w:rsid w:val="004A0BE2"/>
    <w:rsid w:val="004A0C8E"/>
    <w:rsid w:val="004A0ED9"/>
    <w:rsid w:val="004A3547"/>
    <w:rsid w:val="004A5891"/>
    <w:rsid w:val="004A5C0D"/>
    <w:rsid w:val="004A6295"/>
    <w:rsid w:val="004A656C"/>
    <w:rsid w:val="004A6A44"/>
    <w:rsid w:val="004A6B0A"/>
    <w:rsid w:val="004A7369"/>
    <w:rsid w:val="004A7529"/>
    <w:rsid w:val="004A794D"/>
    <w:rsid w:val="004B020A"/>
    <w:rsid w:val="004B13F3"/>
    <w:rsid w:val="004B1F65"/>
    <w:rsid w:val="004B27C5"/>
    <w:rsid w:val="004B2D82"/>
    <w:rsid w:val="004B47A2"/>
    <w:rsid w:val="004B52F2"/>
    <w:rsid w:val="004B63B0"/>
    <w:rsid w:val="004B63C5"/>
    <w:rsid w:val="004B66B9"/>
    <w:rsid w:val="004B67FA"/>
    <w:rsid w:val="004B7418"/>
    <w:rsid w:val="004B7641"/>
    <w:rsid w:val="004B7CFA"/>
    <w:rsid w:val="004C0170"/>
    <w:rsid w:val="004C093B"/>
    <w:rsid w:val="004C0BCC"/>
    <w:rsid w:val="004C0D38"/>
    <w:rsid w:val="004C18D6"/>
    <w:rsid w:val="004C2F77"/>
    <w:rsid w:val="004C3BF9"/>
    <w:rsid w:val="004C3D7D"/>
    <w:rsid w:val="004C4B20"/>
    <w:rsid w:val="004C4C40"/>
    <w:rsid w:val="004C4DA0"/>
    <w:rsid w:val="004C516A"/>
    <w:rsid w:val="004C59A1"/>
    <w:rsid w:val="004C5ABE"/>
    <w:rsid w:val="004C6C51"/>
    <w:rsid w:val="004C7035"/>
    <w:rsid w:val="004D00AB"/>
    <w:rsid w:val="004D06D6"/>
    <w:rsid w:val="004D09CA"/>
    <w:rsid w:val="004D1A25"/>
    <w:rsid w:val="004D23FF"/>
    <w:rsid w:val="004D274D"/>
    <w:rsid w:val="004D3A3E"/>
    <w:rsid w:val="004D475F"/>
    <w:rsid w:val="004D5A7E"/>
    <w:rsid w:val="004D5C0A"/>
    <w:rsid w:val="004D782B"/>
    <w:rsid w:val="004D7F76"/>
    <w:rsid w:val="004E0541"/>
    <w:rsid w:val="004E058F"/>
    <w:rsid w:val="004E099F"/>
    <w:rsid w:val="004E2E92"/>
    <w:rsid w:val="004E3B4B"/>
    <w:rsid w:val="004E45DA"/>
    <w:rsid w:val="004E515F"/>
    <w:rsid w:val="004E6CCA"/>
    <w:rsid w:val="004E6F6F"/>
    <w:rsid w:val="004E7FC4"/>
    <w:rsid w:val="004F0AEF"/>
    <w:rsid w:val="004F2635"/>
    <w:rsid w:val="004F2815"/>
    <w:rsid w:val="004F3B00"/>
    <w:rsid w:val="004F588C"/>
    <w:rsid w:val="004F5AB4"/>
    <w:rsid w:val="004F6355"/>
    <w:rsid w:val="004F6A64"/>
    <w:rsid w:val="004F6AC1"/>
    <w:rsid w:val="004F6DC2"/>
    <w:rsid w:val="004F7063"/>
    <w:rsid w:val="004F73DB"/>
    <w:rsid w:val="004F7411"/>
    <w:rsid w:val="004F7497"/>
    <w:rsid w:val="004F771B"/>
    <w:rsid w:val="004F7821"/>
    <w:rsid w:val="00501250"/>
    <w:rsid w:val="005017D9"/>
    <w:rsid w:val="005019F5"/>
    <w:rsid w:val="00501D43"/>
    <w:rsid w:val="00501D49"/>
    <w:rsid w:val="00501D61"/>
    <w:rsid w:val="005024A7"/>
    <w:rsid w:val="005027D8"/>
    <w:rsid w:val="00502EE8"/>
    <w:rsid w:val="00503308"/>
    <w:rsid w:val="005043D1"/>
    <w:rsid w:val="00505854"/>
    <w:rsid w:val="00505CA0"/>
    <w:rsid w:val="005066A4"/>
    <w:rsid w:val="00507580"/>
    <w:rsid w:val="00510C24"/>
    <w:rsid w:val="0051132F"/>
    <w:rsid w:val="005113DD"/>
    <w:rsid w:val="005115D1"/>
    <w:rsid w:val="00511631"/>
    <w:rsid w:val="0051178C"/>
    <w:rsid w:val="00511954"/>
    <w:rsid w:val="00511CB3"/>
    <w:rsid w:val="00511D12"/>
    <w:rsid w:val="00511E69"/>
    <w:rsid w:val="00512425"/>
    <w:rsid w:val="00512466"/>
    <w:rsid w:val="00513E53"/>
    <w:rsid w:val="00515493"/>
    <w:rsid w:val="0051637A"/>
    <w:rsid w:val="00516689"/>
    <w:rsid w:val="005174EB"/>
    <w:rsid w:val="005179EA"/>
    <w:rsid w:val="00517B5C"/>
    <w:rsid w:val="00517F64"/>
    <w:rsid w:val="00520182"/>
    <w:rsid w:val="00520742"/>
    <w:rsid w:val="0052198E"/>
    <w:rsid w:val="00521D2F"/>
    <w:rsid w:val="00522326"/>
    <w:rsid w:val="00522A1D"/>
    <w:rsid w:val="005236CC"/>
    <w:rsid w:val="00523F45"/>
    <w:rsid w:val="00524DFC"/>
    <w:rsid w:val="005252AA"/>
    <w:rsid w:val="005255EF"/>
    <w:rsid w:val="00525765"/>
    <w:rsid w:val="005263A4"/>
    <w:rsid w:val="005279CB"/>
    <w:rsid w:val="00527DF5"/>
    <w:rsid w:val="005300D5"/>
    <w:rsid w:val="005305B7"/>
    <w:rsid w:val="00530648"/>
    <w:rsid w:val="00531E45"/>
    <w:rsid w:val="00531E4A"/>
    <w:rsid w:val="00532A7B"/>
    <w:rsid w:val="00532AD4"/>
    <w:rsid w:val="005341CA"/>
    <w:rsid w:val="005349B9"/>
    <w:rsid w:val="00535014"/>
    <w:rsid w:val="005353D8"/>
    <w:rsid w:val="005367C1"/>
    <w:rsid w:val="0053700D"/>
    <w:rsid w:val="00540298"/>
    <w:rsid w:val="005405FB"/>
    <w:rsid w:val="00540F07"/>
    <w:rsid w:val="00541566"/>
    <w:rsid w:val="00542EA8"/>
    <w:rsid w:val="00542F7F"/>
    <w:rsid w:val="00543394"/>
    <w:rsid w:val="005437C5"/>
    <w:rsid w:val="00544257"/>
    <w:rsid w:val="00544568"/>
    <w:rsid w:val="005445F4"/>
    <w:rsid w:val="00544AD1"/>
    <w:rsid w:val="00545473"/>
    <w:rsid w:val="005460BE"/>
    <w:rsid w:val="00546418"/>
    <w:rsid w:val="005475A9"/>
    <w:rsid w:val="0054760F"/>
    <w:rsid w:val="00547FAA"/>
    <w:rsid w:val="00550513"/>
    <w:rsid w:val="00550ABF"/>
    <w:rsid w:val="00550DAE"/>
    <w:rsid w:val="00550F14"/>
    <w:rsid w:val="00551628"/>
    <w:rsid w:val="00552FDF"/>
    <w:rsid w:val="0055303F"/>
    <w:rsid w:val="005533F8"/>
    <w:rsid w:val="00553A1B"/>
    <w:rsid w:val="00554395"/>
    <w:rsid w:val="005543A5"/>
    <w:rsid w:val="005547A2"/>
    <w:rsid w:val="00554851"/>
    <w:rsid w:val="00555722"/>
    <w:rsid w:val="005577A2"/>
    <w:rsid w:val="00557895"/>
    <w:rsid w:val="00557C29"/>
    <w:rsid w:val="00557ED9"/>
    <w:rsid w:val="00560014"/>
    <w:rsid w:val="005602B2"/>
    <w:rsid w:val="00560AD2"/>
    <w:rsid w:val="0056130A"/>
    <w:rsid w:val="00562673"/>
    <w:rsid w:val="005629E0"/>
    <w:rsid w:val="00562AA3"/>
    <w:rsid w:val="0056462D"/>
    <w:rsid w:val="00565D27"/>
    <w:rsid w:val="0056623D"/>
    <w:rsid w:val="00566F47"/>
    <w:rsid w:val="00566FA3"/>
    <w:rsid w:val="005670C7"/>
    <w:rsid w:val="00567B64"/>
    <w:rsid w:val="00571939"/>
    <w:rsid w:val="00573936"/>
    <w:rsid w:val="00573CF4"/>
    <w:rsid w:val="00573D74"/>
    <w:rsid w:val="00573EF5"/>
    <w:rsid w:val="005747D2"/>
    <w:rsid w:val="00574A37"/>
    <w:rsid w:val="00575647"/>
    <w:rsid w:val="0057571E"/>
    <w:rsid w:val="00575C6A"/>
    <w:rsid w:val="00576D81"/>
    <w:rsid w:val="00576FA2"/>
    <w:rsid w:val="0057705F"/>
    <w:rsid w:val="00577DAF"/>
    <w:rsid w:val="00577E0F"/>
    <w:rsid w:val="00580332"/>
    <w:rsid w:val="005808E4"/>
    <w:rsid w:val="005817D7"/>
    <w:rsid w:val="005821F4"/>
    <w:rsid w:val="00584A01"/>
    <w:rsid w:val="00584D3C"/>
    <w:rsid w:val="005868AF"/>
    <w:rsid w:val="00586C6A"/>
    <w:rsid w:val="00587355"/>
    <w:rsid w:val="00587B7B"/>
    <w:rsid w:val="005903DB"/>
    <w:rsid w:val="00590754"/>
    <w:rsid w:val="00590956"/>
    <w:rsid w:val="00590B92"/>
    <w:rsid w:val="00590F12"/>
    <w:rsid w:val="00590FE9"/>
    <w:rsid w:val="0059276B"/>
    <w:rsid w:val="005938AE"/>
    <w:rsid w:val="00594A3D"/>
    <w:rsid w:val="00594E43"/>
    <w:rsid w:val="005950F2"/>
    <w:rsid w:val="00595E42"/>
    <w:rsid w:val="005960FC"/>
    <w:rsid w:val="00597E5A"/>
    <w:rsid w:val="005A15AD"/>
    <w:rsid w:val="005A1B9F"/>
    <w:rsid w:val="005A1DC0"/>
    <w:rsid w:val="005A21CD"/>
    <w:rsid w:val="005A31EC"/>
    <w:rsid w:val="005A32F2"/>
    <w:rsid w:val="005A4476"/>
    <w:rsid w:val="005A471A"/>
    <w:rsid w:val="005A50D7"/>
    <w:rsid w:val="005A526A"/>
    <w:rsid w:val="005A539B"/>
    <w:rsid w:val="005A53B4"/>
    <w:rsid w:val="005A559B"/>
    <w:rsid w:val="005A67B3"/>
    <w:rsid w:val="005A6E18"/>
    <w:rsid w:val="005A7FC2"/>
    <w:rsid w:val="005B0058"/>
    <w:rsid w:val="005B0351"/>
    <w:rsid w:val="005B0355"/>
    <w:rsid w:val="005B078A"/>
    <w:rsid w:val="005B0ABF"/>
    <w:rsid w:val="005B128C"/>
    <w:rsid w:val="005B17DC"/>
    <w:rsid w:val="005B2257"/>
    <w:rsid w:val="005B368C"/>
    <w:rsid w:val="005B42EC"/>
    <w:rsid w:val="005B47F1"/>
    <w:rsid w:val="005B4AEB"/>
    <w:rsid w:val="005B5EC6"/>
    <w:rsid w:val="005B6E22"/>
    <w:rsid w:val="005B78DB"/>
    <w:rsid w:val="005B7B47"/>
    <w:rsid w:val="005B7CCA"/>
    <w:rsid w:val="005C00ED"/>
    <w:rsid w:val="005C09A7"/>
    <w:rsid w:val="005C130D"/>
    <w:rsid w:val="005C3E31"/>
    <w:rsid w:val="005C40A2"/>
    <w:rsid w:val="005C4AFC"/>
    <w:rsid w:val="005C4EAA"/>
    <w:rsid w:val="005C543A"/>
    <w:rsid w:val="005C597D"/>
    <w:rsid w:val="005C62FD"/>
    <w:rsid w:val="005C69B5"/>
    <w:rsid w:val="005C71B7"/>
    <w:rsid w:val="005C7B6F"/>
    <w:rsid w:val="005D01A2"/>
    <w:rsid w:val="005D0E0D"/>
    <w:rsid w:val="005D1663"/>
    <w:rsid w:val="005D1CBC"/>
    <w:rsid w:val="005D3246"/>
    <w:rsid w:val="005D3654"/>
    <w:rsid w:val="005D3660"/>
    <w:rsid w:val="005D38C9"/>
    <w:rsid w:val="005D38F2"/>
    <w:rsid w:val="005D3FF9"/>
    <w:rsid w:val="005D456D"/>
    <w:rsid w:val="005D5F58"/>
    <w:rsid w:val="005D664E"/>
    <w:rsid w:val="005D6C0D"/>
    <w:rsid w:val="005D7373"/>
    <w:rsid w:val="005D7E75"/>
    <w:rsid w:val="005E0B31"/>
    <w:rsid w:val="005E15FB"/>
    <w:rsid w:val="005E27CC"/>
    <w:rsid w:val="005E32A0"/>
    <w:rsid w:val="005E38AA"/>
    <w:rsid w:val="005E4553"/>
    <w:rsid w:val="005E47CF"/>
    <w:rsid w:val="005E5DE8"/>
    <w:rsid w:val="005E60C5"/>
    <w:rsid w:val="005E6834"/>
    <w:rsid w:val="005E7F30"/>
    <w:rsid w:val="005F0D87"/>
    <w:rsid w:val="005F19A9"/>
    <w:rsid w:val="005F19D6"/>
    <w:rsid w:val="005F20F0"/>
    <w:rsid w:val="005F338D"/>
    <w:rsid w:val="005F45A0"/>
    <w:rsid w:val="005F4DEC"/>
    <w:rsid w:val="005F6926"/>
    <w:rsid w:val="005F708B"/>
    <w:rsid w:val="005F7F40"/>
    <w:rsid w:val="0060011B"/>
    <w:rsid w:val="00600928"/>
    <w:rsid w:val="0060092D"/>
    <w:rsid w:val="0060094E"/>
    <w:rsid w:val="006009CD"/>
    <w:rsid w:val="00600E84"/>
    <w:rsid w:val="006011A6"/>
    <w:rsid w:val="006012D3"/>
    <w:rsid w:val="0060136B"/>
    <w:rsid w:val="00602578"/>
    <w:rsid w:val="006037E1"/>
    <w:rsid w:val="00603E78"/>
    <w:rsid w:val="00604037"/>
    <w:rsid w:val="00604471"/>
    <w:rsid w:val="00605483"/>
    <w:rsid w:val="00606434"/>
    <w:rsid w:val="0060710E"/>
    <w:rsid w:val="0060715E"/>
    <w:rsid w:val="00607C87"/>
    <w:rsid w:val="00610A71"/>
    <w:rsid w:val="00610A89"/>
    <w:rsid w:val="00611038"/>
    <w:rsid w:val="006118D3"/>
    <w:rsid w:val="00612B7B"/>
    <w:rsid w:val="00612C0F"/>
    <w:rsid w:val="0061316A"/>
    <w:rsid w:val="00613FF5"/>
    <w:rsid w:val="00615EBA"/>
    <w:rsid w:val="00616A47"/>
    <w:rsid w:val="006175C2"/>
    <w:rsid w:val="00621147"/>
    <w:rsid w:val="00621AF1"/>
    <w:rsid w:val="00622370"/>
    <w:rsid w:val="00622C62"/>
    <w:rsid w:val="00622CBB"/>
    <w:rsid w:val="00622D2F"/>
    <w:rsid w:val="00623466"/>
    <w:rsid w:val="006234C7"/>
    <w:rsid w:val="0062361F"/>
    <w:rsid w:val="00624420"/>
    <w:rsid w:val="00624A33"/>
    <w:rsid w:val="00625B60"/>
    <w:rsid w:val="00626E5B"/>
    <w:rsid w:val="00631322"/>
    <w:rsid w:val="00631BE7"/>
    <w:rsid w:val="006322A7"/>
    <w:rsid w:val="0063241E"/>
    <w:rsid w:val="00633534"/>
    <w:rsid w:val="006336D1"/>
    <w:rsid w:val="00633B98"/>
    <w:rsid w:val="00633F4F"/>
    <w:rsid w:val="0063404B"/>
    <w:rsid w:val="00634D24"/>
    <w:rsid w:val="0063578B"/>
    <w:rsid w:val="006357E8"/>
    <w:rsid w:val="00636188"/>
    <w:rsid w:val="0063642A"/>
    <w:rsid w:val="006366D7"/>
    <w:rsid w:val="00637F40"/>
    <w:rsid w:val="006404E0"/>
    <w:rsid w:val="006406D7"/>
    <w:rsid w:val="00641078"/>
    <w:rsid w:val="00641747"/>
    <w:rsid w:val="00642253"/>
    <w:rsid w:val="00642FF5"/>
    <w:rsid w:val="0064351A"/>
    <w:rsid w:val="00643EA3"/>
    <w:rsid w:val="006452FB"/>
    <w:rsid w:val="00645B8E"/>
    <w:rsid w:val="00646241"/>
    <w:rsid w:val="006463A4"/>
    <w:rsid w:val="00646DB3"/>
    <w:rsid w:val="00647331"/>
    <w:rsid w:val="006478F9"/>
    <w:rsid w:val="00650D72"/>
    <w:rsid w:val="00651EE9"/>
    <w:rsid w:val="0065277B"/>
    <w:rsid w:val="00652E0D"/>
    <w:rsid w:val="0065320D"/>
    <w:rsid w:val="00653243"/>
    <w:rsid w:val="006533A1"/>
    <w:rsid w:val="00653AB4"/>
    <w:rsid w:val="00654321"/>
    <w:rsid w:val="00654838"/>
    <w:rsid w:val="00654D73"/>
    <w:rsid w:val="00655E72"/>
    <w:rsid w:val="006576C6"/>
    <w:rsid w:val="00657A4A"/>
    <w:rsid w:val="00657BE4"/>
    <w:rsid w:val="00660EE3"/>
    <w:rsid w:val="006618BF"/>
    <w:rsid w:val="006627CF"/>
    <w:rsid w:val="00663016"/>
    <w:rsid w:val="00663384"/>
    <w:rsid w:val="006643B2"/>
    <w:rsid w:val="0066497A"/>
    <w:rsid w:val="00664C17"/>
    <w:rsid w:val="00665639"/>
    <w:rsid w:val="006665AF"/>
    <w:rsid w:val="00667A95"/>
    <w:rsid w:val="006707CF"/>
    <w:rsid w:val="006710FD"/>
    <w:rsid w:val="00671478"/>
    <w:rsid w:val="0067203C"/>
    <w:rsid w:val="00672D46"/>
    <w:rsid w:val="00673414"/>
    <w:rsid w:val="00673E66"/>
    <w:rsid w:val="00675C7B"/>
    <w:rsid w:val="00675FD9"/>
    <w:rsid w:val="006764E8"/>
    <w:rsid w:val="0067663A"/>
    <w:rsid w:val="00677530"/>
    <w:rsid w:val="00681046"/>
    <w:rsid w:val="00681EE0"/>
    <w:rsid w:val="00682639"/>
    <w:rsid w:val="006828C7"/>
    <w:rsid w:val="006831B3"/>
    <w:rsid w:val="00683B0B"/>
    <w:rsid w:val="00683DB1"/>
    <w:rsid w:val="00684684"/>
    <w:rsid w:val="006846DE"/>
    <w:rsid w:val="0068486F"/>
    <w:rsid w:val="00684C40"/>
    <w:rsid w:val="0068523A"/>
    <w:rsid w:val="00685374"/>
    <w:rsid w:val="006855D4"/>
    <w:rsid w:val="00686C0E"/>
    <w:rsid w:val="0068735B"/>
    <w:rsid w:val="00687734"/>
    <w:rsid w:val="00687929"/>
    <w:rsid w:val="00687CED"/>
    <w:rsid w:val="00690CB4"/>
    <w:rsid w:val="0069224E"/>
    <w:rsid w:val="00692734"/>
    <w:rsid w:val="006927AA"/>
    <w:rsid w:val="00693820"/>
    <w:rsid w:val="00693895"/>
    <w:rsid w:val="0069402C"/>
    <w:rsid w:val="00694B73"/>
    <w:rsid w:val="00695145"/>
    <w:rsid w:val="00695C15"/>
    <w:rsid w:val="006970FD"/>
    <w:rsid w:val="006A021D"/>
    <w:rsid w:val="006A0867"/>
    <w:rsid w:val="006A097D"/>
    <w:rsid w:val="006A0B65"/>
    <w:rsid w:val="006A0D7D"/>
    <w:rsid w:val="006A107F"/>
    <w:rsid w:val="006A1161"/>
    <w:rsid w:val="006A1719"/>
    <w:rsid w:val="006A20E4"/>
    <w:rsid w:val="006A3617"/>
    <w:rsid w:val="006A3829"/>
    <w:rsid w:val="006A42F7"/>
    <w:rsid w:val="006A47FC"/>
    <w:rsid w:val="006A4886"/>
    <w:rsid w:val="006A48EE"/>
    <w:rsid w:val="006A4F82"/>
    <w:rsid w:val="006A5F30"/>
    <w:rsid w:val="006A6061"/>
    <w:rsid w:val="006A6811"/>
    <w:rsid w:val="006A7558"/>
    <w:rsid w:val="006A7B40"/>
    <w:rsid w:val="006B011B"/>
    <w:rsid w:val="006B3210"/>
    <w:rsid w:val="006B35C5"/>
    <w:rsid w:val="006B3748"/>
    <w:rsid w:val="006B3D97"/>
    <w:rsid w:val="006B4139"/>
    <w:rsid w:val="006B4681"/>
    <w:rsid w:val="006B4CB0"/>
    <w:rsid w:val="006B55F4"/>
    <w:rsid w:val="006B5C63"/>
    <w:rsid w:val="006B61A0"/>
    <w:rsid w:val="006B6421"/>
    <w:rsid w:val="006B7685"/>
    <w:rsid w:val="006C030B"/>
    <w:rsid w:val="006C1917"/>
    <w:rsid w:val="006C1C3B"/>
    <w:rsid w:val="006C239F"/>
    <w:rsid w:val="006C2407"/>
    <w:rsid w:val="006C2518"/>
    <w:rsid w:val="006C2F89"/>
    <w:rsid w:val="006C3018"/>
    <w:rsid w:val="006C3E40"/>
    <w:rsid w:val="006C4486"/>
    <w:rsid w:val="006C4BE3"/>
    <w:rsid w:val="006C5E60"/>
    <w:rsid w:val="006C6185"/>
    <w:rsid w:val="006C6AED"/>
    <w:rsid w:val="006C7847"/>
    <w:rsid w:val="006C7C82"/>
    <w:rsid w:val="006D00FA"/>
    <w:rsid w:val="006D0126"/>
    <w:rsid w:val="006D07A2"/>
    <w:rsid w:val="006D143F"/>
    <w:rsid w:val="006D159D"/>
    <w:rsid w:val="006D24D2"/>
    <w:rsid w:val="006D27D2"/>
    <w:rsid w:val="006D3450"/>
    <w:rsid w:val="006D42AA"/>
    <w:rsid w:val="006D43B8"/>
    <w:rsid w:val="006D4891"/>
    <w:rsid w:val="006D4D66"/>
    <w:rsid w:val="006D584F"/>
    <w:rsid w:val="006D7710"/>
    <w:rsid w:val="006E0E3B"/>
    <w:rsid w:val="006E188E"/>
    <w:rsid w:val="006E1990"/>
    <w:rsid w:val="006E274B"/>
    <w:rsid w:val="006E2903"/>
    <w:rsid w:val="006E3243"/>
    <w:rsid w:val="006E34E3"/>
    <w:rsid w:val="006E4516"/>
    <w:rsid w:val="006E4710"/>
    <w:rsid w:val="006E4DAB"/>
    <w:rsid w:val="006E5E13"/>
    <w:rsid w:val="006E67B6"/>
    <w:rsid w:val="006E6B7C"/>
    <w:rsid w:val="006F0E53"/>
    <w:rsid w:val="006F1143"/>
    <w:rsid w:val="006F1BB3"/>
    <w:rsid w:val="006F2EAD"/>
    <w:rsid w:val="006F3178"/>
    <w:rsid w:val="006F335A"/>
    <w:rsid w:val="006F3C3E"/>
    <w:rsid w:val="006F4408"/>
    <w:rsid w:val="006F4A31"/>
    <w:rsid w:val="006F4C04"/>
    <w:rsid w:val="006F510B"/>
    <w:rsid w:val="006F58FB"/>
    <w:rsid w:val="006F647B"/>
    <w:rsid w:val="006F6523"/>
    <w:rsid w:val="006F6A8D"/>
    <w:rsid w:val="006F6AE7"/>
    <w:rsid w:val="006F7C76"/>
    <w:rsid w:val="00700389"/>
    <w:rsid w:val="00700EFA"/>
    <w:rsid w:val="007014D0"/>
    <w:rsid w:val="0070237A"/>
    <w:rsid w:val="00702CD2"/>
    <w:rsid w:val="00703212"/>
    <w:rsid w:val="00703296"/>
    <w:rsid w:val="00704317"/>
    <w:rsid w:val="00706D89"/>
    <w:rsid w:val="0070747A"/>
    <w:rsid w:val="00710453"/>
    <w:rsid w:val="00711136"/>
    <w:rsid w:val="00711AB3"/>
    <w:rsid w:val="00711C79"/>
    <w:rsid w:val="007120A5"/>
    <w:rsid w:val="007122E6"/>
    <w:rsid w:val="00712A77"/>
    <w:rsid w:val="00712EB2"/>
    <w:rsid w:val="00713BDB"/>
    <w:rsid w:val="00714531"/>
    <w:rsid w:val="00715085"/>
    <w:rsid w:val="007158F7"/>
    <w:rsid w:val="00715D69"/>
    <w:rsid w:val="007163B9"/>
    <w:rsid w:val="00716DA7"/>
    <w:rsid w:val="00716E52"/>
    <w:rsid w:val="00717458"/>
    <w:rsid w:val="00720BCA"/>
    <w:rsid w:val="00721079"/>
    <w:rsid w:val="007214C6"/>
    <w:rsid w:val="007225E0"/>
    <w:rsid w:val="0072307C"/>
    <w:rsid w:val="00723A1E"/>
    <w:rsid w:val="00724C2A"/>
    <w:rsid w:val="00724F4D"/>
    <w:rsid w:val="00725370"/>
    <w:rsid w:val="007257CB"/>
    <w:rsid w:val="0072656D"/>
    <w:rsid w:val="00726DBC"/>
    <w:rsid w:val="0072769B"/>
    <w:rsid w:val="00727A91"/>
    <w:rsid w:val="0073155F"/>
    <w:rsid w:val="00731618"/>
    <w:rsid w:val="00732170"/>
    <w:rsid w:val="00732505"/>
    <w:rsid w:val="00732615"/>
    <w:rsid w:val="00732E9C"/>
    <w:rsid w:val="00732FDC"/>
    <w:rsid w:val="00734C81"/>
    <w:rsid w:val="00734D67"/>
    <w:rsid w:val="0073509D"/>
    <w:rsid w:val="00735178"/>
    <w:rsid w:val="0073522B"/>
    <w:rsid w:val="00736143"/>
    <w:rsid w:val="007372DF"/>
    <w:rsid w:val="00737702"/>
    <w:rsid w:val="00737B96"/>
    <w:rsid w:val="007405E9"/>
    <w:rsid w:val="0074087C"/>
    <w:rsid w:val="00741F03"/>
    <w:rsid w:val="007422B8"/>
    <w:rsid w:val="00742A5C"/>
    <w:rsid w:val="007434C7"/>
    <w:rsid w:val="00744D97"/>
    <w:rsid w:val="00745253"/>
    <w:rsid w:val="007459B1"/>
    <w:rsid w:val="00746DBF"/>
    <w:rsid w:val="00751014"/>
    <w:rsid w:val="00751AEC"/>
    <w:rsid w:val="00751C71"/>
    <w:rsid w:val="00751EA5"/>
    <w:rsid w:val="00752F92"/>
    <w:rsid w:val="0075349F"/>
    <w:rsid w:val="0075379B"/>
    <w:rsid w:val="007561DF"/>
    <w:rsid w:val="007567CF"/>
    <w:rsid w:val="00757F82"/>
    <w:rsid w:val="007605EE"/>
    <w:rsid w:val="0076098D"/>
    <w:rsid w:val="0076109F"/>
    <w:rsid w:val="0076131E"/>
    <w:rsid w:val="007620BC"/>
    <w:rsid w:val="00763CCB"/>
    <w:rsid w:val="007654DB"/>
    <w:rsid w:val="00766152"/>
    <w:rsid w:val="00770F5D"/>
    <w:rsid w:val="007710D2"/>
    <w:rsid w:val="007711C2"/>
    <w:rsid w:val="00771DBC"/>
    <w:rsid w:val="00771EB0"/>
    <w:rsid w:val="00772BA7"/>
    <w:rsid w:val="007731F8"/>
    <w:rsid w:val="007733D3"/>
    <w:rsid w:val="00773D4E"/>
    <w:rsid w:val="0077546E"/>
    <w:rsid w:val="00775936"/>
    <w:rsid w:val="00775B04"/>
    <w:rsid w:val="00777071"/>
    <w:rsid w:val="00777125"/>
    <w:rsid w:val="007778E5"/>
    <w:rsid w:val="00777FD4"/>
    <w:rsid w:val="00781063"/>
    <w:rsid w:val="00782F11"/>
    <w:rsid w:val="00783266"/>
    <w:rsid w:val="00783FFC"/>
    <w:rsid w:val="00784A93"/>
    <w:rsid w:val="0078527E"/>
    <w:rsid w:val="00785426"/>
    <w:rsid w:val="00785D88"/>
    <w:rsid w:val="00785F70"/>
    <w:rsid w:val="00786B32"/>
    <w:rsid w:val="00787D89"/>
    <w:rsid w:val="00787E2B"/>
    <w:rsid w:val="00790339"/>
    <w:rsid w:val="00790B4B"/>
    <w:rsid w:val="007910B5"/>
    <w:rsid w:val="00791195"/>
    <w:rsid w:val="007912A8"/>
    <w:rsid w:val="007918DC"/>
    <w:rsid w:val="007918E5"/>
    <w:rsid w:val="0079247D"/>
    <w:rsid w:val="00792D3F"/>
    <w:rsid w:val="00793091"/>
    <w:rsid w:val="007937F1"/>
    <w:rsid w:val="007941F3"/>
    <w:rsid w:val="00794715"/>
    <w:rsid w:val="00795243"/>
    <w:rsid w:val="007957C5"/>
    <w:rsid w:val="00795A58"/>
    <w:rsid w:val="00795A80"/>
    <w:rsid w:val="00795C43"/>
    <w:rsid w:val="007960DC"/>
    <w:rsid w:val="00796701"/>
    <w:rsid w:val="0079672A"/>
    <w:rsid w:val="007970AC"/>
    <w:rsid w:val="00797315"/>
    <w:rsid w:val="007979D2"/>
    <w:rsid w:val="00797A93"/>
    <w:rsid w:val="007A09DD"/>
    <w:rsid w:val="007A0A24"/>
    <w:rsid w:val="007A1A13"/>
    <w:rsid w:val="007A1C59"/>
    <w:rsid w:val="007A264C"/>
    <w:rsid w:val="007A2764"/>
    <w:rsid w:val="007A2AE5"/>
    <w:rsid w:val="007A2B95"/>
    <w:rsid w:val="007A3111"/>
    <w:rsid w:val="007A33E8"/>
    <w:rsid w:val="007A37FE"/>
    <w:rsid w:val="007A38DB"/>
    <w:rsid w:val="007A3EE4"/>
    <w:rsid w:val="007A5CA1"/>
    <w:rsid w:val="007A6E73"/>
    <w:rsid w:val="007A7013"/>
    <w:rsid w:val="007A7416"/>
    <w:rsid w:val="007A7776"/>
    <w:rsid w:val="007B0706"/>
    <w:rsid w:val="007B0D1F"/>
    <w:rsid w:val="007B0DFB"/>
    <w:rsid w:val="007B0F06"/>
    <w:rsid w:val="007B10B7"/>
    <w:rsid w:val="007B15E4"/>
    <w:rsid w:val="007B1D93"/>
    <w:rsid w:val="007B22C6"/>
    <w:rsid w:val="007B23D8"/>
    <w:rsid w:val="007B2615"/>
    <w:rsid w:val="007B2BAB"/>
    <w:rsid w:val="007B3238"/>
    <w:rsid w:val="007B39F3"/>
    <w:rsid w:val="007B44EC"/>
    <w:rsid w:val="007B4840"/>
    <w:rsid w:val="007B4F0A"/>
    <w:rsid w:val="007B5481"/>
    <w:rsid w:val="007B56E0"/>
    <w:rsid w:val="007B5E24"/>
    <w:rsid w:val="007B6064"/>
    <w:rsid w:val="007B606F"/>
    <w:rsid w:val="007B673B"/>
    <w:rsid w:val="007B68EE"/>
    <w:rsid w:val="007B7390"/>
    <w:rsid w:val="007B79F2"/>
    <w:rsid w:val="007B7E5C"/>
    <w:rsid w:val="007C0738"/>
    <w:rsid w:val="007C0E2B"/>
    <w:rsid w:val="007C0F60"/>
    <w:rsid w:val="007C116A"/>
    <w:rsid w:val="007C134B"/>
    <w:rsid w:val="007C1BB4"/>
    <w:rsid w:val="007C28F8"/>
    <w:rsid w:val="007C3393"/>
    <w:rsid w:val="007C4479"/>
    <w:rsid w:val="007C495A"/>
    <w:rsid w:val="007C4B36"/>
    <w:rsid w:val="007C4B67"/>
    <w:rsid w:val="007C4CBE"/>
    <w:rsid w:val="007C4E49"/>
    <w:rsid w:val="007C5E0E"/>
    <w:rsid w:val="007C6D3E"/>
    <w:rsid w:val="007C7F75"/>
    <w:rsid w:val="007C7FB3"/>
    <w:rsid w:val="007D00A2"/>
    <w:rsid w:val="007D10F1"/>
    <w:rsid w:val="007D17CA"/>
    <w:rsid w:val="007D1BD3"/>
    <w:rsid w:val="007D1C15"/>
    <w:rsid w:val="007D2B35"/>
    <w:rsid w:val="007D2E0C"/>
    <w:rsid w:val="007D33CC"/>
    <w:rsid w:val="007D39CB"/>
    <w:rsid w:val="007D4056"/>
    <w:rsid w:val="007D4635"/>
    <w:rsid w:val="007D4929"/>
    <w:rsid w:val="007D5C96"/>
    <w:rsid w:val="007D6AD4"/>
    <w:rsid w:val="007D6FB3"/>
    <w:rsid w:val="007D6FC4"/>
    <w:rsid w:val="007D7247"/>
    <w:rsid w:val="007D77DE"/>
    <w:rsid w:val="007D79A2"/>
    <w:rsid w:val="007D7E07"/>
    <w:rsid w:val="007E0E07"/>
    <w:rsid w:val="007E1451"/>
    <w:rsid w:val="007E1F22"/>
    <w:rsid w:val="007E269D"/>
    <w:rsid w:val="007E44E2"/>
    <w:rsid w:val="007E4A44"/>
    <w:rsid w:val="007E4E57"/>
    <w:rsid w:val="007E50C8"/>
    <w:rsid w:val="007E584C"/>
    <w:rsid w:val="007E7147"/>
    <w:rsid w:val="007E733A"/>
    <w:rsid w:val="007E7EE2"/>
    <w:rsid w:val="007F080A"/>
    <w:rsid w:val="007F0A2B"/>
    <w:rsid w:val="007F0F16"/>
    <w:rsid w:val="007F0F52"/>
    <w:rsid w:val="007F0FF9"/>
    <w:rsid w:val="007F11D5"/>
    <w:rsid w:val="007F201C"/>
    <w:rsid w:val="007F2904"/>
    <w:rsid w:val="007F3056"/>
    <w:rsid w:val="007F328F"/>
    <w:rsid w:val="007F3950"/>
    <w:rsid w:val="007F5D04"/>
    <w:rsid w:val="007F5EED"/>
    <w:rsid w:val="008005AE"/>
    <w:rsid w:val="00800AF4"/>
    <w:rsid w:val="008012D0"/>
    <w:rsid w:val="008017B4"/>
    <w:rsid w:val="00801DA2"/>
    <w:rsid w:val="008025E0"/>
    <w:rsid w:val="008027DD"/>
    <w:rsid w:val="008028C0"/>
    <w:rsid w:val="00802F53"/>
    <w:rsid w:val="008030EF"/>
    <w:rsid w:val="00803937"/>
    <w:rsid w:val="00803A6C"/>
    <w:rsid w:val="00804342"/>
    <w:rsid w:val="00804361"/>
    <w:rsid w:val="0080512C"/>
    <w:rsid w:val="008053A0"/>
    <w:rsid w:val="00805C2E"/>
    <w:rsid w:val="00806316"/>
    <w:rsid w:val="008069D9"/>
    <w:rsid w:val="00806BCA"/>
    <w:rsid w:val="00806F54"/>
    <w:rsid w:val="00807696"/>
    <w:rsid w:val="00810359"/>
    <w:rsid w:val="00810953"/>
    <w:rsid w:val="00811281"/>
    <w:rsid w:val="00811CB3"/>
    <w:rsid w:val="008125E8"/>
    <w:rsid w:val="00812F37"/>
    <w:rsid w:val="0081307D"/>
    <w:rsid w:val="008133AE"/>
    <w:rsid w:val="008152CD"/>
    <w:rsid w:val="00815CDA"/>
    <w:rsid w:val="00816386"/>
    <w:rsid w:val="0081670E"/>
    <w:rsid w:val="00817652"/>
    <w:rsid w:val="00817F0C"/>
    <w:rsid w:val="0082151F"/>
    <w:rsid w:val="00821A2A"/>
    <w:rsid w:val="00822460"/>
    <w:rsid w:val="00822C59"/>
    <w:rsid w:val="00823627"/>
    <w:rsid w:val="00824713"/>
    <w:rsid w:val="00824CC9"/>
    <w:rsid w:val="00824CD7"/>
    <w:rsid w:val="00824F95"/>
    <w:rsid w:val="00825492"/>
    <w:rsid w:val="00825543"/>
    <w:rsid w:val="00826930"/>
    <w:rsid w:val="00826C6F"/>
    <w:rsid w:val="008313F5"/>
    <w:rsid w:val="00831BF0"/>
    <w:rsid w:val="00834014"/>
    <w:rsid w:val="00834932"/>
    <w:rsid w:val="00834BEA"/>
    <w:rsid w:val="00834C6E"/>
    <w:rsid w:val="00835CC2"/>
    <w:rsid w:val="00835DC1"/>
    <w:rsid w:val="00835FEC"/>
    <w:rsid w:val="008373CA"/>
    <w:rsid w:val="008375C6"/>
    <w:rsid w:val="008379B3"/>
    <w:rsid w:val="00837B32"/>
    <w:rsid w:val="00837D1E"/>
    <w:rsid w:val="00837FD5"/>
    <w:rsid w:val="00840D2E"/>
    <w:rsid w:val="00841060"/>
    <w:rsid w:val="008426CF"/>
    <w:rsid w:val="00842AD9"/>
    <w:rsid w:val="008432AD"/>
    <w:rsid w:val="00843E12"/>
    <w:rsid w:val="00843FD9"/>
    <w:rsid w:val="008443C5"/>
    <w:rsid w:val="008447B3"/>
    <w:rsid w:val="00844D71"/>
    <w:rsid w:val="00846007"/>
    <w:rsid w:val="00846171"/>
    <w:rsid w:val="008463E9"/>
    <w:rsid w:val="008464C5"/>
    <w:rsid w:val="00846C35"/>
    <w:rsid w:val="0085065E"/>
    <w:rsid w:val="00850758"/>
    <w:rsid w:val="00850DC6"/>
    <w:rsid w:val="008517F9"/>
    <w:rsid w:val="008518E3"/>
    <w:rsid w:val="0085249A"/>
    <w:rsid w:val="00852BEA"/>
    <w:rsid w:val="00852FCF"/>
    <w:rsid w:val="0085312E"/>
    <w:rsid w:val="00853929"/>
    <w:rsid w:val="00853B9C"/>
    <w:rsid w:val="00853E38"/>
    <w:rsid w:val="0085415C"/>
    <w:rsid w:val="0085548E"/>
    <w:rsid w:val="00855768"/>
    <w:rsid w:val="00855F4A"/>
    <w:rsid w:val="00856F1B"/>
    <w:rsid w:val="00857272"/>
    <w:rsid w:val="00857C4C"/>
    <w:rsid w:val="00857E76"/>
    <w:rsid w:val="008601A5"/>
    <w:rsid w:val="00860657"/>
    <w:rsid w:val="00860843"/>
    <w:rsid w:val="0086182A"/>
    <w:rsid w:val="0086192F"/>
    <w:rsid w:val="00861BE6"/>
    <w:rsid w:val="00861CA4"/>
    <w:rsid w:val="008621BF"/>
    <w:rsid w:val="008623D0"/>
    <w:rsid w:val="00862594"/>
    <w:rsid w:val="00862F52"/>
    <w:rsid w:val="0086358C"/>
    <w:rsid w:val="00864205"/>
    <w:rsid w:val="008642B9"/>
    <w:rsid w:val="00864362"/>
    <w:rsid w:val="00864C91"/>
    <w:rsid w:val="00865EA9"/>
    <w:rsid w:val="00865EDD"/>
    <w:rsid w:val="008665D7"/>
    <w:rsid w:val="008666E8"/>
    <w:rsid w:val="008679D8"/>
    <w:rsid w:val="0087025E"/>
    <w:rsid w:val="00870358"/>
    <w:rsid w:val="00871328"/>
    <w:rsid w:val="00871E7D"/>
    <w:rsid w:val="008724A7"/>
    <w:rsid w:val="00873A0C"/>
    <w:rsid w:val="008752D5"/>
    <w:rsid w:val="008759EC"/>
    <w:rsid w:val="00875F40"/>
    <w:rsid w:val="00876602"/>
    <w:rsid w:val="00876F2C"/>
    <w:rsid w:val="00876FD9"/>
    <w:rsid w:val="0087700A"/>
    <w:rsid w:val="00877199"/>
    <w:rsid w:val="00877382"/>
    <w:rsid w:val="008801B5"/>
    <w:rsid w:val="00880659"/>
    <w:rsid w:val="008817C0"/>
    <w:rsid w:val="0088243D"/>
    <w:rsid w:val="008826D5"/>
    <w:rsid w:val="008835A3"/>
    <w:rsid w:val="00883F02"/>
    <w:rsid w:val="0088427F"/>
    <w:rsid w:val="008843C6"/>
    <w:rsid w:val="0088467B"/>
    <w:rsid w:val="0088533E"/>
    <w:rsid w:val="008866EC"/>
    <w:rsid w:val="00887CBA"/>
    <w:rsid w:val="00887FF9"/>
    <w:rsid w:val="0089112F"/>
    <w:rsid w:val="00891AF3"/>
    <w:rsid w:val="00891FE9"/>
    <w:rsid w:val="0089239A"/>
    <w:rsid w:val="008926E5"/>
    <w:rsid w:val="008927DA"/>
    <w:rsid w:val="008934A1"/>
    <w:rsid w:val="00893882"/>
    <w:rsid w:val="00894BC5"/>
    <w:rsid w:val="00895390"/>
    <w:rsid w:val="0089580E"/>
    <w:rsid w:val="00895E49"/>
    <w:rsid w:val="00895FA9"/>
    <w:rsid w:val="00896964"/>
    <w:rsid w:val="00896A53"/>
    <w:rsid w:val="008979FB"/>
    <w:rsid w:val="00897DF4"/>
    <w:rsid w:val="008A0BDD"/>
    <w:rsid w:val="008A153F"/>
    <w:rsid w:val="008A16C7"/>
    <w:rsid w:val="008A1B1C"/>
    <w:rsid w:val="008A20A7"/>
    <w:rsid w:val="008A2C01"/>
    <w:rsid w:val="008A2EA8"/>
    <w:rsid w:val="008A30F6"/>
    <w:rsid w:val="008A432A"/>
    <w:rsid w:val="008A46CF"/>
    <w:rsid w:val="008A49EB"/>
    <w:rsid w:val="008A5508"/>
    <w:rsid w:val="008A6109"/>
    <w:rsid w:val="008A615A"/>
    <w:rsid w:val="008B0CAC"/>
    <w:rsid w:val="008B1538"/>
    <w:rsid w:val="008B1F27"/>
    <w:rsid w:val="008B2925"/>
    <w:rsid w:val="008B2964"/>
    <w:rsid w:val="008B2D2D"/>
    <w:rsid w:val="008B378E"/>
    <w:rsid w:val="008B386D"/>
    <w:rsid w:val="008B419D"/>
    <w:rsid w:val="008B41DF"/>
    <w:rsid w:val="008B4219"/>
    <w:rsid w:val="008B449C"/>
    <w:rsid w:val="008B4BBD"/>
    <w:rsid w:val="008B4D5C"/>
    <w:rsid w:val="008B4F0C"/>
    <w:rsid w:val="008B5C3B"/>
    <w:rsid w:val="008B6FFC"/>
    <w:rsid w:val="008C0FA7"/>
    <w:rsid w:val="008C2432"/>
    <w:rsid w:val="008C3298"/>
    <w:rsid w:val="008C39D3"/>
    <w:rsid w:val="008C3D2D"/>
    <w:rsid w:val="008C4F8C"/>
    <w:rsid w:val="008C531A"/>
    <w:rsid w:val="008C53BD"/>
    <w:rsid w:val="008C5E9D"/>
    <w:rsid w:val="008C6266"/>
    <w:rsid w:val="008C6C2F"/>
    <w:rsid w:val="008C7634"/>
    <w:rsid w:val="008C7767"/>
    <w:rsid w:val="008C79C0"/>
    <w:rsid w:val="008D0E0E"/>
    <w:rsid w:val="008D125A"/>
    <w:rsid w:val="008D22B0"/>
    <w:rsid w:val="008D26A3"/>
    <w:rsid w:val="008D2755"/>
    <w:rsid w:val="008D28A2"/>
    <w:rsid w:val="008D3191"/>
    <w:rsid w:val="008D348C"/>
    <w:rsid w:val="008D36B9"/>
    <w:rsid w:val="008D4325"/>
    <w:rsid w:val="008D54A1"/>
    <w:rsid w:val="008D555D"/>
    <w:rsid w:val="008D6164"/>
    <w:rsid w:val="008D7B15"/>
    <w:rsid w:val="008E0019"/>
    <w:rsid w:val="008E0347"/>
    <w:rsid w:val="008E0F2C"/>
    <w:rsid w:val="008E278C"/>
    <w:rsid w:val="008E2803"/>
    <w:rsid w:val="008E3C1B"/>
    <w:rsid w:val="008E3CC3"/>
    <w:rsid w:val="008E64F0"/>
    <w:rsid w:val="008E6AFE"/>
    <w:rsid w:val="008E7286"/>
    <w:rsid w:val="008E766F"/>
    <w:rsid w:val="008E7B0C"/>
    <w:rsid w:val="008F0727"/>
    <w:rsid w:val="008F0905"/>
    <w:rsid w:val="008F1634"/>
    <w:rsid w:val="008F1C77"/>
    <w:rsid w:val="008F2580"/>
    <w:rsid w:val="008F34E3"/>
    <w:rsid w:val="008F4178"/>
    <w:rsid w:val="008F498A"/>
    <w:rsid w:val="008F49F2"/>
    <w:rsid w:val="008F5004"/>
    <w:rsid w:val="008F5B0D"/>
    <w:rsid w:val="008F61CD"/>
    <w:rsid w:val="008F64D9"/>
    <w:rsid w:val="008F6B52"/>
    <w:rsid w:val="008F6F92"/>
    <w:rsid w:val="008F71E0"/>
    <w:rsid w:val="008F72DF"/>
    <w:rsid w:val="00900068"/>
    <w:rsid w:val="009004B3"/>
    <w:rsid w:val="00900837"/>
    <w:rsid w:val="0090115A"/>
    <w:rsid w:val="0090148A"/>
    <w:rsid w:val="00902085"/>
    <w:rsid w:val="0090350A"/>
    <w:rsid w:val="00903D1E"/>
    <w:rsid w:val="00903F8C"/>
    <w:rsid w:val="00904823"/>
    <w:rsid w:val="0090511C"/>
    <w:rsid w:val="00905C1F"/>
    <w:rsid w:val="00905E63"/>
    <w:rsid w:val="00906F19"/>
    <w:rsid w:val="009076D8"/>
    <w:rsid w:val="00907E2A"/>
    <w:rsid w:val="009108CE"/>
    <w:rsid w:val="00910A45"/>
    <w:rsid w:val="00910D0F"/>
    <w:rsid w:val="00911AE2"/>
    <w:rsid w:val="009122CD"/>
    <w:rsid w:val="009128E1"/>
    <w:rsid w:val="0091344B"/>
    <w:rsid w:val="009134BF"/>
    <w:rsid w:val="009134DC"/>
    <w:rsid w:val="00913A00"/>
    <w:rsid w:val="00913DED"/>
    <w:rsid w:val="0091408B"/>
    <w:rsid w:val="00914349"/>
    <w:rsid w:val="00914648"/>
    <w:rsid w:val="00914988"/>
    <w:rsid w:val="0091518D"/>
    <w:rsid w:val="009154EB"/>
    <w:rsid w:val="009157FC"/>
    <w:rsid w:val="009165F7"/>
    <w:rsid w:val="00916BFA"/>
    <w:rsid w:val="00920C86"/>
    <w:rsid w:val="009219E2"/>
    <w:rsid w:val="009220DF"/>
    <w:rsid w:val="00922369"/>
    <w:rsid w:val="00922798"/>
    <w:rsid w:val="00922C36"/>
    <w:rsid w:val="00923AB8"/>
    <w:rsid w:val="0092541C"/>
    <w:rsid w:val="009258AE"/>
    <w:rsid w:val="009260D4"/>
    <w:rsid w:val="009264F2"/>
    <w:rsid w:val="00927CD6"/>
    <w:rsid w:val="00930EF0"/>
    <w:rsid w:val="00932808"/>
    <w:rsid w:val="00932AEE"/>
    <w:rsid w:val="00933471"/>
    <w:rsid w:val="0093353A"/>
    <w:rsid w:val="009338F9"/>
    <w:rsid w:val="00934043"/>
    <w:rsid w:val="0093421D"/>
    <w:rsid w:val="009348FA"/>
    <w:rsid w:val="00935344"/>
    <w:rsid w:val="009355D7"/>
    <w:rsid w:val="00935AE4"/>
    <w:rsid w:val="009369FC"/>
    <w:rsid w:val="00937B99"/>
    <w:rsid w:val="00942001"/>
    <w:rsid w:val="0094238C"/>
    <w:rsid w:val="00943E49"/>
    <w:rsid w:val="00944042"/>
    <w:rsid w:val="00945F59"/>
    <w:rsid w:val="0094639F"/>
    <w:rsid w:val="00950808"/>
    <w:rsid w:val="00950DC5"/>
    <w:rsid w:val="009517FF"/>
    <w:rsid w:val="00951889"/>
    <w:rsid w:val="00951A91"/>
    <w:rsid w:val="00951EB9"/>
    <w:rsid w:val="00952B20"/>
    <w:rsid w:val="00952EF9"/>
    <w:rsid w:val="00953984"/>
    <w:rsid w:val="00953B83"/>
    <w:rsid w:val="00953B97"/>
    <w:rsid w:val="009550F6"/>
    <w:rsid w:val="00955D52"/>
    <w:rsid w:val="009572FB"/>
    <w:rsid w:val="009579DA"/>
    <w:rsid w:val="00960645"/>
    <w:rsid w:val="0096072E"/>
    <w:rsid w:val="00960AF9"/>
    <w:rsid w:val="00960DA0"/>
    <w:rsid w:val="00961A64"/>
    <w:rsid w:val="00961BB7"/>
    <w:rsid w:val="00962ED9"/>
    <w:rsid w:val="009631AB"/>
    <w:rsid w:val="00964141"/>
    <w:rsid w:val="0096586F"/>
    <w:rsid w:val="00965EBD"/>
    <w:rsid w:val="00965F6A"/>
    <w:rsid w:val="0096635A"/>
    <w:rsid w:val="009664A1"/>
    <w:rsid w:val="009667E8"/>
    <w:rsid w:val="009668C7"/>
    <w:rsid w:val="009672B1"/>
    <w:rsid w:val="00967377"/>
    <w:rsid w:val="00967562"/>
    <w:rsid w:val="009675C4"/>
    <w:rsid w:val="009676D8"/>
    <w:rsid w:val="00970278"/>
    <w:rsid w:val="00971724"/>
    <w:rsid w:val="00971A64"/>
    <w:rsid w:val="00972890"/>
    <w:rsid w:val="00973321"/>
    <w:rsid w:val="00974399"/>
    <w:rsid w:val="009744B1"/>
    <w:rsid w:val="00974A22"/>
    <w:rsid w:val="00974A2F"/>
    <w:rsid w:val="00974DFE"/>
    <w:rsid w:val="00975299"/>
    <w:rsid w:val="00976BF9"/>
    <w:rsid w:val="00977E16"/>
    <w:rsid w:val="00981AAF"/>
    <w:rsid w:val="00982AE9"/>
    <w:rsid w:val="009835F2"/>
    <w:rsid w:val="00984EA8"/>
    <w:rsid w:val="009864F4"/>
    <w:rsid w:val="00986D32"/>
    <w:rsid w:val="00987C96"/>
    <w:rsid w:val="00987E0C"/>
    <w:rsid w:val="0099025C"/>
    <w:rsid w:val="00991202"/>
    <w:rsid w:val="0099143A"/>
    <w:rsid w:val="00992026"/>
    <w:rsid w:val="00992153"/>
    <w:rsid w:val="0099245A"/>
    <w:rsid w:val="0099257A"/>
    <w:rsid w:val="00995261"/>
    <w:rsid w:val="00995743"/>
    <w:rsid w:val="00996156"/>
    <w:rsid w:val="009965E5"/>
    <w:rsid w:val="00996F26"/>
    <w:rsid w:val="0099734A"/>
    <w:rsid w:val="009978F1"/>
    <w:rsid w:val="009A0F9C"/>
    <w:rsid w:val="009A264C"/>
    <w:rsid w:val="009A2BE8"/>
    <w:rsid w:val="009A3698"/>
    <w:rsid w:val="009A3894"/>
    <w:rsid w:val="009A4875"/>
    <w:rsid w:val="009A54F8"/>
    <w:rsid w:val="009A5B27"/>
    <w:rsid w:val="009A6A6A"/>
    <w:rsid w:val="009A6CE1"/>
    <w:rsid w:val="009A78B4"/>
    <w:rsid w:val="009B02E0"/>
    <w:rsid w:val="009B19E7"/>
    <w:rsid w:val="009B2A93"/>
    <w:rsid w:val="009B47D5"/>
    <w:rsid w:val="009B4AD2"/>
    <w:rsid w:val="009B5A5C"/>
    <w:rsid w:val="009B5CFE"/>
    <w:rsid w:val="009B6937"/>
    <w:rsid w:val="009B6E9D"/>
    <w:rsid w:val="009C042A"/>
    <w:rsid w:val="009C0E99"/>
    <w:rsid w:val="009C18EB"/>
    <w:rsid w:val="009C1FA3"/>
    <w:rsid w:val="009C2098"/>
    <w:rsid w:val="009C2263"/>
    <w:rsid w:val="009C26E2"/>
    <w:rsid w:val="009C32B1"/>
    <w:rsid w:val="009C3B43"/>
    <w:rsid w:val="009C512F"/>
    <w:rsid w:val="009C5864"/>
    <w:rsid w:val="009C590E"/>
    <w:rsid w:val="009C63CF"/>
    <w:rsid w:val="009C6604"/>
    <w:rsid w:val="009C6833"/>
    <w:rsid w:val="009C6EBB"/>
    <w:rsid w:val="009C7DC8"/>
    <w:rsid w:val="009D022D"/>
    <w:rsid w:val="009D06D1"/>
    <w:rsid w:val="009D0FA6"/>
    <w:rsid w:val="009D17DB"/>
    <w:rsid w:val="009D1BE3"/>
    <w:rsid w:val="009D2A85"/>
    <w:rsid w:val="009D3E18"/>
    <w:rsid w:val="009D3EFA"/>
    <w:rsid w:val="009D3F65"/>
    <w:rsid w:val="009D4D65"/>
    <w:rsid w:val="009D5F49"/>
    <w:rsid w:val="009D6553"/>
    <w:rsid w:val="009D6856"/>
    <w:rsid w:val="009E19AE"/>
    <w:rsid w:val="009E276A"/>
    <w:rsid w:val="009E3056"/>
    <w:rsid w:val="009E369A"/>
    <w:rsid w:val="009E4727"/>
    <w:rsid w:val="009E4D65"/>
    <w:rsid w:val="009E4E1B"/>
    <w:rsid w:val="009E4EF3"/>
    <w:rsid w:val="009E4F06"/>
    <w:rsid w:val="009E5C65"/>
    <w:rsid w:val="009E6B2E"/>
    <w:rsid w:val="009E79D1"/>
    <w:rsid w:val="009E7A09"/>
    <w:rsid w:val="009E7C1F"/>
    <w:rsid w:val="009F01E5"/>
    <w:rsid w:val="009F01E7"/>
    <w:rsid w:val="009F07C0"/>
    <w:rsid w:val="009F205E"/>
    <w:rsid w:val="009F20AA"/>
    <w:rsid w:val="009F255B"/>
    <w:rsid w:val="009F2FC6"/>
    <w:rsid w:val="009F3B7C"/>
    <w:rsid w:val="009F430F"/>
    <w:rsid w:val="009F464A"/>
    <w:rsid w:val="009F4A47"/>
    <w:rsid w:val="009F57D7"/>
    <w:rsid w:val="009F5F27"/>
    <w:rsid w:val="009F7581"/>
    <w:rsid w:val="00A00BD0"/>
    <w:rsid w:val="00A016B0"/>
    <w:rsid w:val="00A01F22"/>
    <w:rsid w:val="00A02753"/>
    <w:rsid w:val="00A0408D"/>
    <w:rsid w:val="00A05986"/>
    <w:rsid w:val="00A062F4"/>
    <w:rsid w:val="00A06E54"/>
    <w:rsid w:val="00A06EB9"/>
    <w:rsid w:val="00A10A33"/>
    <w:rsid w:val="00A10E6F"/>
    <w:rsid w:val="00A114D0"/>
    <w:rsid w:val="00A11A95"/>
    <w:rsid w:val="00A11AD4"/>
    <w:rsid w:val="00A12FFC"/>
    <w:rsid w:val="00A13670"/>
    <w:rsid w:val="00A14620"/>
    <w:rsid w:val="00A147FE"/>
    <w:rsid w:val="00A1571C"/>
    <w:rsid w:val="00A16C82"/>
    <w:rsid w:val="00A17039"/>
    <w:rsid w:val="00A178AE"/>
    <w:rsid w:val="00A201DF"/>
    <w:rsid w:val="00A20589"/>
    <w:rsid w:val="00A2140D"/>
    <w:rsid w:val="00A22195"/>
    <w:rsid w:val="00A22622"/>
    <w:rsid w:val="00A228E4"/>
    <w:rsid w:val="00A22BDE"/>
    <w:rsid w:val="00A22F78"/>
    <w:rsid w:val="00A233A8"/>
    <w:rsid w:val="00A23696"/>
    <w:rsid w:val="00A23BB0"/>
    <w:rsid w:val="00A24085"/>
    <w:rsid w:val="00A240A1"/>
    <w:rsid w:val="00A25039"/>
    <w:rsid w:val="00A2543E"/>
    <w:rsid w:val="00A254C9"/>
    <w:rsid w:val="00A25C9C"/>
    <w:rsid w:val="00A25CD1"/>
    <w:rsid w:val="00A26629"/>
    <w:rsid w:val="00A27858"/>
    <w:rsid w:val="00A30222"/>
    <w:rsid w:val="00A3057F"/>
    <w:rsid w:val="00A30E9F"/>
    <w:rsid w:val="00A3200B"/>
    <w:rsid w:val="00A35224"/>
    <w:rsid w:val="00A35461"/>
    <w:rsid w:val="00A36E62"/>
    <w:rsid w:val="00A37593"/>
    <w:rsid w:val="00A40E87"/>
    <w:rsid w:val="00A40ECD"/>
    <w:rsid w:val="00A4126B"/>
    <w:rsid w:val="00A41CA9"/>
    <w:rsid w:val="00A41E06"/>
    <w:rsid w:val="00A42264"/>
    <w:rsid w:val="00A42D95"/>
    <w:rsid w:val="00A43D93"/>
    <w:rsid w:val="00A45A4A"/>
    <w:rsid w:val="00A46EDF"/>
    <w:rsid w:val="00A502C3"/>
    <w:rsid w:val="00A51914"/>
    <w:rsid w:val="00A52267"/>
    <w:rsid w:val="00A526FC"/>
    <w:rsid w:val="00A52CF3"/>
    <w:rsid w:val="00A52E30"/>
    <w:rsid w:val="00A530FD"/>
    <w:rsid w:val="00A53252"/>
    <w:rsid w:val="00A54004"/>
    <w:rsid w:val="00A54618"/>
    <w:rsid w:val="00A54EEC"/>
    <w:rsid w:val="00A556F3"/>
    <w:rsid w:val="00A56BEB"/>
    <w:rsid w:val="00A57D0A"/>
    <w:rsid w:val="00A60273"/>
    <w:rsid w:val="00A62BAF"/>
    <w:rsid w:val="00A62EF4"/>
    <w:rsid w:val="00A63337"/>
    <w:rsid w:val="00A63859"/>
    <w:rsid w:val="00A63985"/>
    <w:rsid w:val="00A6473E"/>
    <w:rsid w:val="00A64742"/>
    <w:rsid w:val="00A64BB9"/>
    <w:rsid w:val="00A64E54"/>
    <w:rsid w:val="00A6530C"/>
    <w:rsid w:val="00A65327"/>
    <w:rsid w:val="00A658AB"/>
    <w:rsid w:val="00A665EE"/>
    <w:rsid w:val="00A66B45"/>
    <w:rsid w:val="00A66BE9"/>
    <w:rsid w:val="00A67FB2"/>
    <w:rsid w:val="00A70233"/>
    <w:rsid w:val="00A704BA"/>
    <w:rsid w:val="00A7075D"/>
    <w:rsid w:val="00A70B08"/>
    <w:rsid w:val="00A71561"/>
    <w:rsid w:val="00A7197B"/>
    <w:rsid w:val="00A71A43"/>
    <w:rsid w:val="00A72138"/>
    <w:rsid w:val="00A72B7E"/>
    <w:rsid w:val="00A7321F"/>
    <w:rsid w:val="00A75047"/>
    <w:rsid w:val="00A7540C"/>
    <w:rsid w:val="00A75701"/>
    <w:rsid w:val="00A75BCD"/>
    <w:rsid w:val="00A760F5"/>
    <w:rsid w:val="00A77EC8"/>
    <w:rsid w:val="00A80A66"/>
    <w:rsid w:val="00A80BEF"/>
    <w:rsid w:val="00A80C7D"/>
    <w:rsid w:val="00A810B5"/>
    <w:rsid w:val="00A81551"/>
    <w:rsid w:val="00A8263B"/>
    <w:rsid w:val="00A82721"/>
    <w:rsid w:val="00A82DD9"/>
    <w:rsid w:val="00A837B9"/>
    <w:rsid w:val="00A83B10"/>
    <w:rsid w:val="00A84021"/>
    <w:rsid w:val="00A85DC7"/>
    <w:rsid w:val="00A86106"/>
    <w:rsid w:val="00A86239"/>
    <w:rsid w:val="00A86D56"/>
    <w:rsid w:val="00A87740"/>
    <w:rsid w:val="00A90474"/>
    <w:rsid w:val="00A91E8C"/>
    <w:rsid w:val="00A92405"/>
    <w:rsid w:val="00A93578"/>
    <w:rsid w:val="00A946AF"/>
    <w:rsid w:val="00A95400"/>
    <w:rsid w:val="00A9540D"/>
    <w:rsid w:val="00A97BEA"/>
    <w:rsid w:val="00A97C09"/>
    <w:rsid w:val="00A97FD7"/>
    <w:rsid w:val="00AA1138"/>
    <w:rsid w:val="00AA12B3"/>
    <w:rsid w:val="00AA163F"/>
    <w:rsid w:val="00AA1666"/>
    <w:rsid w:val="00AA16E0"/>
    <w:rsid w:val="00AA18B8"/>
    <w:rsid w:val="00AA22FA"/>
    <w:rsid w:val="00AA3152"/>
    <w:rsid w:val="00AA3B26"/>
    <w:rsid w:val="00AA462D"/>
    <w:rsid w:val="00AA46E9"/>
    <w:rsid w:val="00AA4CED"/>
    <w:rsid w:val="00AA567D"/>
    <w:rsid w:val="00AA6034"/>
    <w:rsid w:val="00AA62AB"/>
    <w:rsid w:val="00AA69A0"/>
    <w:rsid w:val="00AA7102"/>
    <w:rsid w:val="00AB0973"/>
    <w:rsid w:val="00AB0BEC"/>
    <w:rsid w:val="00AB14B4"/>
    <w:rsid w:val="00AB1547"/>
    <w:rsid w:val="00AB15C3"/>
    <w:rsid w:val="00AB1EA9"/>
    <w:rsid w:val="00AB2518"/>
    <w:rsid w:val="00AB2BF0"/>
    <w:rsid w:val="00AB33DA"/>
    <w:rsid w:val="00AB340B"/>
    <w:rsid w:val="00AB3E9D"/>
    <w:rsid w:val="00AB42FD"/>
    <w:rsid w:val="00AB4AD7"/>
    <w:rsid w:val="00AB4FBC"/>
    <w:rsid w:val="00AB5648"/>
    <w:rsid w:val="00AB5898"/>
    <w:rsid w:val="00AB64D9"/>
    <w:rsid w:val="00AB69DF"/>
    <w:rsid w:val="00AB7C9F"/>
    <w:rsid w:val="00AC064E"/>
    <w:rsid w:val="00AC0AAF"/>
    <w:rsid w:val="00AC0F72"/>
    <w:rsid w:val="00AC100B"/>
    <w:rsid w:val="00AC2FA5"/>
    <w:rsid w:val="00AC3C96"/>
    <w:rsid w:val="00AC5218"/>
    <w:rsid w:val="00AC55DC"/>
    <w:rsid w:val="00AC5AB5"/>
    <w:rsid w:val="00AC6784"/>
    <w:rsid w:val="00AC70E6"/>
    <w:rsid w:val="00AC7C51"/>
    <w:rsid w:val="00AD15DF"/>
    <w:rsid w:val="00AD222D"/>
    <w:rsid w:val="00AD2745"/>
    <w:rsid w:val="00AD2B6F"/>
    <w:rsid w:val="00AD2F9F"/>
    <w:rsid w:val="00AD3876"/>
    <w:rsid w:val="00AD3CC6"/>
    <w:rsid w:val="00AD3FB5"/>
    <w:rsid w:val="00AD453E"/>
    <w:rsid w:val="00AD4E36"/>
    <w:rsid w:val="00AD4F07"/>
    <w:rsid w:val="00AD5358"/>
    <w:rsid w:val="00AD5B15"/>
    <w:rsid w:val="00AE03F8"/>
    <w:rsid w:val="00AE0590"/>
    <w:rsid w:val="00AE08C6"/>
    <w:rsid w:val="00AE08E0"/>
    <w:rsid w:val="00AE115A"/>
    <w:rsid w:val="00AE236A"/>
    <w:rsid w:val="00AE2F62"/>
    <w:rsid w:val="00AE3DB0"/>
    <w:rsid w:val="00AE4537"/>
    <w:rsid w:val="00AE5171"/>
    <w:rsid w:val="00AE605E"/>
    <w:rsid w:val="00AE63C0"/>
    <w:rsid w:val="00AE67D5"/>
    <w:rsid w:val="00AE7B29"/>
    <w:rsid w:val="00AF077B"/>
    <w:rsid w:val="00AF0EA7"/>
    <w:rsid w:val="00AF0EDF"/>
    <w:rsid w:val="00AF1655"/>
    <w:rsid w:val="00AF1A8D"/>
    <w:rsid w:val="00AF1D84"/>
    <w:rsid w:val="00AF3335"/>
    <w:rsid w:val="00AF33A6"/>
    <w:rsid w:val="00AF397E"/>
    <w:rsid w:val="00AF3C8A"/>
    <w:rsid w:val="00AF3CA3"/>
    <w:rsid w:val="00AF5773"/>
    <w:rsid w:val="00AF5BF7"/>
    <w:rsid w:val="00AF5EEA"/>
    <w:rsid w:val="00AF70CF"/>
    <w:rsid w:val="00AF7655"/>
    <w:rsid w:val="00AF78BA"/>
    <w:rsid w:val="00AF78CF"/>
    <w:rsid w:val="00AF7C8E"/>
    <w:rsid w:val="00B011FA"/>
    <w:rsid w:val="00B01818"/>
    <w:rsid w:val="00B01D5C"/>
    <w:rsid w:val="00B02AB9"/>
    <w:rsid w:val="00B033BE"/>
    <w:rsid w:val="00B03544"/>
    <w:rsid w:val="00B043EB"/>
    <w:rsid w:val="00B04751"/>
    <w:rsid w:val="00B04E31"/>
    <w:rsid w:val="00B050EE"/>
    <w:rsid w:val="00B06611"/>
    <w:rsid w:val="00B07C1E"/>
    <w:rsid w:val="00B07E03"/>
    <w:rsid w:val="00B106CF"/>
    <w:rsid w:val="00B112C7"/>
    <w:rsid w:val="00B13AEB"/>
    <w:rsid w:val="00B14106"/>
    <w:rsid w:val="00B144B8"/>
    <w:rsid w:val="00B1790A"/>
    <w:rsid w:val="00B20313"/>
    <w:rsid w:val="00B22668"/>
    <w:rsid w:val="00B226AB"/>
    <w:rsid w:val="00B2340B"/>
    <w:rsid w:val="00B24AEB"/>
    <w:rsid w:val="00B24EF6"/>
    <w:rsid w:val="00B25671"/>
    <w:rsid w:val="00B25720"/>
    <w:rsid w:val="00B2613C"/>
    <w:rsid w:val="00B26D38"/>
    <w:rsid w:val="00B26D81"/>
    <w:rsid w:val="00B272CA"/>
    <w:rsid w:val="00B30296"/>
    <w:rsid w:val="00B310E5"/>
    <w:rsid w:val="00B31C3C"/>
    <w:rsid w:val="00B32083"/>
    <w:rsid w:val="00B325AE"/>
    <w:rsid w:val="00B32EE0"/>
    <w:rsid w:val="00B33BC3"/>
    <w:rsid w:val="00B34A73"/>
    <w:rsid w:val="00B34AFA"/>
    <w:rsid w:val="00B355E1"/>
    <w:rsid w:val="00B360AF"/>
    <w:rsid w:val="00B36570"/>
    <w:rsid w:val="00B36FC6"/>
    <w:rsid w:val="00B373D4"/>
    <w:rsid w:val="00B37B8F"/>
    <w:rsid w:val="00B400BE"/>
    <w:rsid w:val="00B407C0"/>
    <w:rsid w:val="00B409D1"/>
    <w:rsid w:val="00B412E6"/>
    <w:rsid w:val="00B41967"/>
    <w:rsid w:val="00B42723"/>
    <w:rsid w:val="00B439E0"/>
    <w:rsid w:val="00B43B7F"/>
    <w:rsid w:val="00B43E2E"/>
    <w:rsid w:val="00B4473F"/>
    <w:rsid w:val="00B448D4"/>
    <w:rsid w:val="00B44E43"/>
    <w:rsid w:val="00B46072"/>
    <w:rsid w:val="00B462A8"/>
    <w:rsid w:val="00B46496"/>
    <w:rsid w:val="00B4667D"/>
    <w:rsid w:val="00B47AE6"/>
    <w:rsid w:val="00B47C1C"/>
    <w:rsid w:val="00B514C4"/>
    <w:rsid w:val="00B527A9"/>
    <w:rsid w:val="00B527E7"/>
    <w:rsid w:val="00B529BB"/>
    <w:rsid w:val="00B530A5"/>
    <w:rsid w:val="00B540C3"/>
    <w:rsid w:val="00B578EF"/>
    <w:rsid w:val="00B6009E"/>
    <w:rsid w:val="00B60926"/>
    <w:rsid w:val="00B60C5E"/>
    <w:rsid w:val="00B611E7"/>
    <w:rsid w:val="00B62C54"/>
    <w:rsid w:val="00B63F7A"/>
    <w:rsid w:val="00B6470E"/>
    <w:rsid w:val="00B65D60"/>
    <w:rsid w:val="00B6607E"/>
    <w:rsid w:val="00B6654E"/>
    <w:rsid w:val="00B668A9"/>
    <w:rsid w:val="00B668BE"/>
    <w:rsid w:val="00B6694F"/>
    <w:rsid w:val="00B66E48"/>
    <w:rsid w:val="00B67D6B"/>
    <w:rsid w:val="00B71784"/>
    <w:rsid w:val="00B71F09"/>
    <w:rsid w:val="00B721C8"/>
    <w:rsid w:val="00B72C1E"/>
    <w:rsid w:val="00B739CF"/>
    <w:rsid w:val="00B73B11"/>
    <w:rsid w:val="00B74E11"/>
    <w:rsid w:val="00B75447"/>
    <w:rsid w:val="00B75EB7"/>
    <w:rsid w:val="00B76AC8"/>
    <w:rsid w:val="00B7797C"/>
    <w:rsid w:val="00B8031D"/>
    <w:rsid w:val="00B81273"/>
    <w:rsid w:val="00B813AD"/>
    <w:rsid w:val="00B82065"/>
    <w:rsid w:val="00B82A14"/>
    <w:rsid w:val="00B82CE9"/>
    <w:rsid w:val="00B82E22"/>
    <w:rsid w:val="00B8335D"/>
    <w:rsid w:val="00B833F9"/>
    <w:rsid w:val="00B83ABF"/>
    <w:rsid w:val="00B84F64"/>
    <w:rsid w:val="00B8560F"/>
    <w:rsid w:val="00B85EEB"/>
    <w:rsid w:val="00B861A8"/>
    <w:rsid w:val="00B86535"/>
    <w:rsid w:val="00B86E1C"/>
    <w:rsid w:val="00B8782B"/>
    <w:rsid w:val="00B8798B"/>
    <w:rsid w:val="00B87CD4"/>
    <w:rsid w:val="00B9003F"/>
    <w:rsid w:val="00B90F11"/>
    <w:rsid w:val="00B91137"/>
    <w:rsid w:val="00B916A1"/>
    <w:rsid w:val="00B918DD"/>
    <w:rsid w:val="00B91A13"/>
    <w:rsid w:val="00B922FF"/>
    <w:rsid w:val="00B924B2"/>
    <w:rsid w:val="00B9266A"/>
    <w:rsid w:val="00B93360"/>
    <w:rsid w:val="00B93474"/>
    <w:rsid w:val="00B93589"/>
    <w:rsid w:val="00B939C8"/>
    <w:rsid w:val="00B93F1F"/>
    <w:rsid w:val="00B954F3"/>
    <w:rsid w:val="00B9569F"/>
    <w:rsid w:val="00B95BA8"/>
    <w:rsid w:val="00B9676E"/>
    <w:rsid w:val="00B97874"/>
    <w:rsid w:val="00B9791D"/>
    <w:rsid w:val="00BA0079"/>
    <w:rsid w:val="00BA0767"/>
    <w:rsid w:val="00BA2131"/>
    <w:rsid w:val="00BA21A0"/>
    <w:rsid w:val="00BA295F"/>
    <w:rsid w:val="00BA2BC2"/>
    <w:rsid w:val="00BA2C7B"/>
    <w:rsid w:val="00BA2C81"/>
    <w:rsid w:val="00BA2FCC"/>
    <w:rsid w:val="00BA3057"/>
    <w:rsid w:val="00BA31F7"/>
    <w:rsid w:val="00BA3B85"/>
    <w:rsid w:val="00BA3D95"/>
    <w:rsid w:val="00BA43DD"/>
    <w:rsid w:val="00BA4B7B"/>
    <w:rsid w:val="00BA5F4B"/>
    <w:rsid w:val="00BA6731"/>
    <w:rsid w:val="00BA68A6"/>
    <w:rsid w:val="00BA75CE"/>
    <w:rsid w:val="00BA77DC"/>
    <w:rsid w:val="00BB0EAC"/>
    <w:rsid w:val="00BB0F95"/>
    <w:rsid w:val="00BB1508"/>
    <w:rsid w:val="00BB1E21"/>
    <w:rsid w:val="00BB2343"/>
    <w:rsid w:val="00BB2B58"/>
    <w:rsid w:val="00BB36F7"/>
    <w:rsid w:val="00BB4DB9"/>
    <w:rsid w:val="00BB53F6"/>
    <w:rsid w:val="00BB69A9"/>
    <w:rsid w:val="00BB6E5B"/>
    <w:rsid w:val="00BB7261"/>
    <w:rsid w:val="00BB7345"/>
    <w:rsid w:val="00BB76DD"/>
    <w:rsid w:val="00BB7CE8"/>
    <w:rsid w:val="00BC07AE"/>
    <w:rsid w:val="00BC10F2"/>
    <w:rsid w:val="00BC1896"/>
    <w:rsid w:val="00BC1D6F"/>
    <w:rsid w:val="00BC2CC9"/>
    <w:rsid w:val="00BC2D6B"/>
    <w:rsid w:val="00BC32C7"/>
    <w:rsid w:val="00BC3E28"/>
    <w:rsid w:val="00BC540F"/>
    <w:rsid w:val="00BC5734"/>
    <w:rsid w:val="00BC6841"/>
    <w:rsid w:val="00BC710D"/>
    <w:rsid w:val="00BC71B0"/>
    <w:rsid w:val="00BC74BB"/>
    <w:rsid w:val="00BD0AD1"/>
    <w:rsid w:val="00BD18BB"/>
    <w:rsid w:val="00BD1ADC"/>
    <w:rsid w:val="00BD272E"/>
    <w:rsid w:val="00BD37D1"/>
    <w:rsid w:val="00BD437A"/>
    <w:rsid w:val="00BD4BC2"/>
    <w:rsid w:val="00BD515B"/>
    <w:rsid w:val="00BD5BE9"/>
    <w:rsid w:val="00BD5E49"/>
    <w:rsid w:val="00BD6532"/>
    <w:rsid w:val="00BD6A91"/>
    <w:rsid w:val="00BD6BF5"/>
    <w:rsid w:val="00BD6EE1"/>
    <w:rsid w:val="00BD7326"/>
    <w:rsid w:val="00BD7D33"/>
    <w:rsid w:val="00BE03FC"/>
    <w:rsid w:val="00BE084E"/>
    <w:rsid w:val="00BE0B7A"/>
    <w:rsid w:val="00BE0C5B"/>
    <w:rsid w:val="00BE1B49"/>
    <w:rsid w:val="00BE2879"/>
    <w:rsid w:val="00BE2DE4"/>
    <w:rsid w:val="00BE2FE9"/>
    <w:rsid w:val="00BE3BFE"/>
    <w:rsid w:val="00BE4EFF"/>
    <w:rsid w:val="00BE5028"/>
    <w:rsid w:val="00BE54FA"/>
    <w:rsid w:val="00BE6678"/>
    <w:rsid w:val="00BE6FDE"/>
    <w:rsid w:val="00BE77F8"/>
    <w:rsid w:val="00BF01D2"/>
    <w:rsid w:val="00BF0636"/>
    <w:rsid w:val="00BF0B4F"/>
    <w:rsid w:val="00BF25E2"/>
    <w:rsid w:val="00BF3813"/>
    <w:rsid w:val="00BF45FC"/>
    <w:rsid w:val="00BF5007"/>
    <w:rsid w:val="00BF5BCB"/>
    <w:rsid w:val="00BF5D3D"/>
    <w:rsid w:val="00BF5F20"/>
    <w:rsid w:val="00BF67DB"/>
    <w:rsid w:val="00BF6BC3"/>
    <w:rsid w:val="00BF6F82"/>
    <w:rsid w:val="00BF6FC7"/>
    <w:rsid w:val="00C003A2"/>
    <w:rsid w:val="00C00B47"/>
    <w:rsid w:val="00C0198C"/>
    <w:rsid w:val="00C01C01"/>
    <w:rsid w:val="00C02F5A"/>
    <w:rsid w:val="00C03267"/>
    <w:rsid w:val="00C036FC"/>
    <w:rsid w:val="00C03782"/>
    <w:rsid w:val="00C03FCA"/>
    <w:rsid w:val="00C0418C"/>
    <w:rsid w:val="00C04E9F"/>
    <w:rsid w:val="00C0590C"/>
    <w:rsid w:val="00C06DE8"/>
    <w:rsid w:val="00C07ACB"/>
    <w:rsid w:val="00C07F5F"/>
    <w:rsid w:val="00C1006F"/>
    <w:rsid w:val="00C10B75"/>
    <w:rsid w:val="00C11641"/>
    <w:rsid w:val="00C11AB8"/>
    <w:rsid w:val="00C11EFF"/>
    <w:rsid w:val="00C11F5E"/>
    <w:rsid w:val="00C124CF"/>
    <w:rsid w:val="00C12616"/>
    <w:rsid w:val="00C12D6C"/>
    <w:rsid w:val="00C1317C"/>
    <w:rsid w:val="00C13A93"/>
    <w:rsid w:val="00C14222"/>
    <w:rsid w:val="00C14998"/>
    <w:rsid w:val="00C14E29"/>
    <w:rsid w:val="00C14F5D"/>
    <w:rsid w:val="00C151E5"/>
    <w:rsid w:val="00C15874"/>
    <w:rsid w:val="00C16129"/>
    <w:rsid w:val="00C16136"/>
    <w:rsid w:val="00C16B6B"/>
    <w:rsid w:val="00C178BA"/>
    <w:rsid w:val="00C17EDE"/>
    <w:rsid w:val="00C202EE"/>
    <w:rsid w:val="00C20929"/>
    <w:rsid w:val="00C21FA6"/>
    <w:rsid w:val="00C23C6B"/>
    <w:rsid w:val="00C23D1E"/>
    <w:rsid w:val="00C24C78"/>
    <w:rsid w:val="00C2583A"/>
    <w:rsid w:val="00C25ACB"/>
    <w:rsid w:val="00C25FB6"/>
    <w:rsid w:val="00C274C4"/>
    <w:rsid w:val="00C308C5"/>
    <w:rsid w:val="00C30EA6"/>
    <w:rsid w:val="00C31073"/>
    <w:rsid w:val="00C32FE6"/>
    <w:rsid w:val="00C3381B"/>
    <w:rsid w:val="00C36F26"/>
    <w:rsid w:val="00C370BE"/>
    <w:rsid w:val="00C373AE"/>
    <w:rsid w:val="00C37B1E"/>
    <w:rsid w:val="00C402D9"/>
    <w:rsid w:val="00C410DF"/>
    <w:rsid w:val="00C42826"/>
    <w:rsid w:val="00C42E05"/>
    <w:rsid w:val="00C445D5"/>
    <w:rsid w:val="00C44D64"/>
    <w:rsid w:val="00C46626"/>
    <w:rsid w:val="00C46CBD"/>
    <w:rsid w:val="00C46E3C"/>
    <w:rsid w:val="00C4727A"/>
    <w:rsid w:val="00C4727C"/>
    <w:rsid w:val="00C47CA7"/>
    <w:rsid w:val="00C47FB5"/>
    <w:rsid w:val="00C5024E"/>
    <w:rsid w:val="00C502EA"/>
    <w:rsid w:val="00C50E89"/>
    <w:rsid w:val="00C51A19"/>
    <w:rsid w:val="00C52521"/>
    <w:rsid w:val="00C52F1B"/>
    <w:rsid w:val="00C5346E"/>
    <w:rsid w:val="00C54B42"/>
    <w:rsid w:val="00C54E7F"/>
    <w:rsid w:val="00C559BD"/>
    <w:rsid w:val="00C55DB5"/>
    <w:rsid w:val="00C55F02"/>
    <w:rsid w:val="00C577F4"/>
    <w:rsid w:val="00C6010B"/>
    <w:rsid w:val="00C60493"/>
    <w:rsid w:val="00C60A2D"/>
    <w:rsid w:val="00C611FE"/>
    <w:rsid w:val="00C6277C"/>
    <w:rsid w:val="00C62B24"/>
    <w:rsid w:val="00C63FD0"/>
    <w:rsid w:val="00C6434D"/>
    <w:rsid w:val="00C64F86"/>
    <w:rsid w:val="00C651ED"/>
    <w:rsid w:val="00C664AE"/>
    <w:rsid w:val="00C6687D"/>
    <w:rsid w:val="00C66B6C"/>
    <w:rsid w:val="00C67A33"/>
    <w:rsid w:val="00C705BE"/>
    <w:rsid w:val="00C70A7D"/>
    <w:rsid w:val="00C71129"/>
    <w:rsid w:val="00C71A5D"/>
    <w:rsid w:val="00C71AF1"/>
    <w:rsid w:val="00C71F25"/>
    <w:rsid w:val="00C72651"/>
    <w:rsid w:val="00C73A0C"/>
    <w:rsid w:val="00C73E4F"/>
    <w:rsid w:val="00C7443F"/>
    <w:rsid w:val="00C74C9C"/>
    <w:rsid w:val="00C74FCB"/>
    <w:rsid w:val="00C75067"/>
    <w:rsid w:val="00C757CC"/>
    <w:rsid w:val="00C760A5"/>
    <w:rsid w:val="00C76202"/>
    <w:rsid w:val="00C765A0"/>
    <w:rsid w:val="00C76ABF"/>
    <w:rsid w:val="00C76FEC"/>
    <w:rsid w:val="00C77866"/>
    <w:rsid w:val="00C80336"/>
    <w:rsid w:val="00C80496"/>
    <w:rsid w:val="00C808DD"/>
    <w:rsid w:val="00C812C2"/>
    <w:rsid w:val="00C81BF7"/>
    <w:rsid w:val="00C81D15"/>
    <w:rsid w:val="00C839EE"/>
    <w:rsid w:val="00C850F5"/>
    <w:rsid w:val="00C85505"/>
    <w:rsid w:val="00C86709"/>
    <w:rsid w:val="00C86849"/>
    <w:rsid w:val="00C86D01"/>
    <w:rsid w:val="00C87457"/>
    <w:rsid w:val="00C8764E"/>
    <w:rsid w:val="00C87C44"/>
    <w:rsid w:val="00C87C82"/>
    <w:rsid w:val="00C90637"/>
    <w:rsid w:val="00C919F0"/>
    <w:rsid w:val="00C92C72"/>
    <w:rsid w:val="00C932F1"/>
    <w:rsid w:val="00C93A43"/>
    <w:rsid w:val="00C94527"/>
    <w:rsid w:val="00C94613"/>
    <w:rsid w:val="00C9466D"/>
    <w:rsid w:val="00C94C86"/>
    <w:rsid w:val="00C95543"/>
    <w:rsid w:val="00C960DA"/>
    <w:rsid w:val="00C960FB"/>
    <w:rsid w:val="00C96465"/>
    <w:rsid w:val="00CA036A"/>
    <w:rsid w:val="00CA0563"/>
    <w:rsid w:val="00CA0D10"/>
    <w:rsid w:val="00CA10F3"/>
    <w:rsid w:val="00CA11E5"/>
    <w:rsid w:val="00CA162D"/>
    <w:rsid w:val="00CA2645"/>
    <w:rsid w:val="00CA2ADE"/>
    <w:rsid w:val="00CA3CEA"/>
    <w:rsid w:val="00CA58A7"/>
    <w:rsid w:val="00CA5AB9"/>
    <w:rsid w:val="00CA5F1A"/>
    <w:rsid w:val="00CA6083"/>
    <w:rsid w:val="00CA67AD"/>
    <w:rsid w:val="00CB0018"/>
    <w:rsid w:val="00CB00A1"/>
    <w:rsid w:val="00CB0416"/>
    <w:rsid w:val="00CB18B0"/>
    <w:rsid w:val="00CB1BA1"/>
    <w:rsid w:val="00CB1D10"/>
    <w:rsid w:val="00CB2272"/>
    <w:rsid w:val="00CB2338"/>
    <w:rsid w:val="00CB2F00"/>
    <w:rsid w:val="00CB323F"/>
    <w:rsid w:val="00CB3607"/>
    <w:rsid w:val="00CB376D"/>
    <w:rsid w:val="00CB3D20"/>
    <w:rsid w:val="00CB3DB2"/>
    <w:rsid w:val="00CB3E73"/>
    <w:rsid w:val="00CB5587"/>
    <w:rsid w:val="00CB5848"/>
    <w:rsid w:val="00CB59CD"/>
    <w:rsid w:val="00CB5D3F"/>
    <w:rsid w:val="00CB6241"/>
    <w:rsid w:val="00CB644E"/>
    <w:rsid w:val="00CB7829"/>
    <w:rsid w:val="00CC0AFC"/>
    <w:rsid w:val="00CC1750"/>
    <w:rsid w:val="00CC1C1C"/>
    <w:rsid w:val="00CC1FED"/>
    <w:rsid w:val="00CC2505"/>
    <w:rsid w:val="00CC263C"/>
    <w:rsid w:val="00CC2789"/>
    <w:rsid w:val="00CC2A74"/>
    <w:rsid w:val="00CC316D"/>
    <w:rsid w:val="00CC3B3D"/>
    <w:rsid w:val="00CC4EF2"/>
    <w:rsid w:val="00CC722C"/>
    <w:rsid w:val="00CC7C75"/>
    <w:rsid w:val="00CD0947"/>
    <w:rsid w:val="00CD09AD"/>
    <w:rsid w:val="00CD1EC9"/>
    <w:rsid w:val="00CD2049"/>
    <w:rsid w:val="00CD2162"/>
    <w:rsid w:val="00CD22DE"/>
    <w:rsid w:val="00CD2C08"/>
    <w:rsid w:val="00CD3672"/>
    <w:rsid w:val="00CD3EC6"/>
    <w:rsid w:val="00CD3F49"/>
    <w:rsid w:val="00CD445C"/>
    <w:rsid w:val="00CD4C41"/>
    <w:rsid w:val="00CD501C"/>
    <w:rsid w:val="00CD54C6"/>
    <w:rsid w:val="00CD7854"/>
    <w:rsid w:val="00CD7E98"/>
    <w:rsid w:val="00CE13B1"/>
    <w:rsid w:val="00CE1769"/>
    <w:rsid w:val="00CE1833"/>
    <w:rsid w:val="00CE1AF1"/>
    <w:rsid w:val="00CE20B0"/>
    <w:rsid w:val="00CE27A6"/>
    <w:rsid w:val="00CE2AEE"/>
    <w:rsid w:val="00CE321E"/>
    <w:rsid w:val="00CE3F28"/>
    <w:rsid w:val="00CE40D4"/>
    <w:rsid w:val="00CE4802"/>
    <w:rsid w:val="00CE4EE7"/>
    <w:rsid w:val="00CE4EFA"/>
    <w:rsid w:val="00CE64AB"/>
    <w:rsid w:val="00CE7224"/>
    <w:rsid w:val="00CF0732"/>
    <w:rsid w:val="00CF1A16"/>
    <w:rsid w:val="00CF22F9"/>
    <w:rsid w:val="00CF26EA"/>
    <w:rsid w:val="00CF35B0"/>
    <w:rsid w:val="00CF36A1"/>
    <w:rsid w:val="00CF3C75"/>
    <w:rsid w:val="00CF3D4F"/>
    <w:rsid w:val="00CF42EF"/>
    <w:rsid w:val="00CF63CE"/>
    <w:rsid w:val="00CF6D48"/>
    <w:rsid w:val="00CF6DC4"/>
    <w:rsid w:val="00CF7E47"/>
    <w:rsid w:val="00D00723"/>
    <w:rsid w:val="00D00F6E"/>
    <w:rsid w:val="00D018A7"/>
    <w:rsid w:val="00D0237B"/>
    <w:rsid w:val="00D02567"/>
    <w:rsid w:val="00D02690"/>
    <w:rsid w:val="00D03586"/>
    <w:rsid w:val="00D0378C"/>
    <w:rsid w:val="00D038CC"/>
    <w:rsid w:val="00D03A16"/>
    <w:rsid w:val="00D03FCE"/>
    <w:rsid w:val="00D0431F"/>
    <w:rsid w:val="00D049CB"/>
    <w:rsid w:val="00D04E00"/>
    <w:rsid w:val="00D065BA"/>
    <w:rsid w:val="00D0695F"/>
    <w:rsid w:val="00D06A0F"/>
    <w:rsid w:val="00D10025"/>
    <w:rsid w:val="00D10CB0"/>
    <w:rsid w:val="00D11971"/>
    <w:rsid w:val="00D122A7"/>
    <w:rsid w:val="00D124B6"/>
    <w:rsid w:val="00D128AD"/>
    <w:rsid w:val="00D1310A"/>
    <w:rsid w:val="00D13AD5"/>
    <w:rsid w:val="00D14005"/>
    <w:rsid w:val="00D149AB"/>
    <w:rsid w:val="00D14E5C"/>
    <w:rsid w:val="00D15555"/>
    <w:rsid w:val="00D165C1"/>
    <w:rsid w:val="00D1681F"/>
    <w:rsid w:val="00D1711D"/>
    <w:rsid w:val="00D173FE"/>
    <w:rsid w:val="00D174C1"/>
    <w:rsid w:val="00D1795B"/>
    <w:rsid w:val="00D17E1D"/>
    <w:rsid w:val="00D208EB"/>
    <w:rsid w:val="00D20928"/>
    <w:rsid w:val="00D20DDB"/>
    <w:rsid w:val="00D20EBC"/>
    <w:rsid w:val="00D211E1"/>
    <w:rsid w:val="00D21593"/>
    <w:rsid w:val="00D2219A"/>
    <w:rsid w:val="00D227B3"/>
    <w:rsid w:val="00D22A76"/>
    <w:rsid w:val="00D22C36"/>
    <w:rsid w:val="00D23796"/>
    <w:rsid w:val="00D24203"/>
    <w:rsid w:val="00D2518A"/>
    <w:rsid w:val="00D25860"/>
    <w:rsid w:val="00D25A7B"/>
    <w:rsid w:val="00D267B1"/>
    <w:rsid w:val="00D26CB4"/>
    <w:rsid w:val="00D27911"/>
    <w:rsid w:val="00D27DC5"/>
    <w:rsid w:val="00D27E65"/>
    <w:rsid w:val="00D30376"/>
    <w:rsid w:val="00D31DE5"/>
    <w:rsid w:val="00D31E35"/>
    <w:rsid w:val="00D31F4B"/>
    <w:rsid w:val="00D32D83"/>
    <w:rsid w:val="00D32E5E"/>
    <w:rsid w:val="00D334C5"/>
    <w:rsid w:val="00D33849"/>
    <w:rsid w:val="00D338B6"/>
    <w:rsid w:val="00D338B9"/>
    <w:rsid w:val="00D339F2"/>
    <w:rsid w:val="00D34028"/>
    <w:rsid w:val="00D355F8"/>
    <w:rsid w:val="00D35C1F"/>
    <w:rsid w:val="00D36AA7"/>
    <w:rsid w:val="00D400FE"/>
    <w:rsid w:val="00D40123"/>
    <w:rsid w:val="00D403CF"/>
    <w:rsid w:val="00D41E34"/>
    <w:rsid w:val="00D41ECA"/>
    <w:rsid w:val="00D426EB"/>
    <w:rsid w:val="00D427AE"/>
    <w:rsid w:val="00D42E64"/>
    <w:rsid w:val="00D4368C"/>
    <w:rsid w:val="00D44DFB"/>
    <w:rsid w:val="00D455EB"/>
    <w:rsid w:val="00D45669"/>
    <w:rsid w:val="00D4606C"/>
    <w:rsid w:val="00D460FE"/>
    <w:rsid w:val="00D462CF"/>
    <w:rsid w:val="00D47FD4"/>
    <w:rsid w:val="00D503A2"/>
    <w:rsid w:val="00D512D9"/>
    <w:rsid w:val="00D53040"/>
    <w:rsid w:val="00D54404"/>
    <w:rsid w:val="00D54995"/>
    <w:rsid w:val="00D54B5E"/>
    <w:rsid w:val="00D54BCA"/>
    <w:rsid w:val="00D55462"/>
    <w:rsid w:val="00D5648B"/>
    <w:rsid w:val="00D567E2"/>
    <w:rsid w:val="00D56F4F"/>
    <w:rsid w:val="00D60378"/>
    <w:rsid w:val="00D608B3"/>
    <w:rsid w:val="00D60A97"/>
    <w:rsid w:val="00D60EB7"/>
    <w:rsid w:val="00D61149"/>
    <w:rsid w:val="00D623AC"/>
    <w:rsid w:val="00D62A33"/>
    <w:rsid w:val="00D62E5B"/>
    <w:rsid w:val="00D641AA"/>
    <w:rsid w:val="00D64471"/>
    <w:rsid w:val="00D64525"/>
    <w:rsid w:val="00D64BF6"/>
    <w:rsid w:val="00D6605B"/>
    <w:rsid w:val="00D66B7F"/>
    <w:rsid w:val="00D66C2B"/>
    <w:rsid w:val="00D674D7"/>
    <w:rsid w:val="00D6773F"/>
    <w:rsid w:val="00D67B30"/>
    <w:rsid w:val="00D72443"/>
    <w:rsid w:val="00D7342D"/>
    <w:rsid w:val="00D73C8D"/>
    <w:rsid w:val="00D74DD4"/>
    <w:rsid w:val="00D74EC1"/>
    <w:rsid w:val="00D74F3C"/>
    <w:rsid w:val="00D7508A"/>
    <w:rsid w:val="00D75D97"/>
    <w:rsid w:val="00D764E6"/>
    <w:rsid w:val="00D76DFA"/>
    <w:rsid w:val="00D76E5C"/>
    <w:rsid w:val="00D77B62"/>
    <w:rsid w:val="00D8026B"/>
    <w:rsid w:val="00D8106D"/>
    <w:rsid w:val="00D81532"/>
    <w:rsid w:val="00D81EFE"/>
    <w:rsid w:val="00D82781"/>
    <w:rsid w:val="00D83C26"/>
    <w:rsid w:val="00D84B87"/>
    <w:rsid w:val="00D84BC8"/>
    <w:rsid w:val="00D852FE"/>
    <w:rsid w:val="00D85336"/>
    <w:rsid w:val="00D85474"/>
    <w:rsid w:val="00D85A44"/>
    <w:rsid w:val="00D8621C"/>
    <w:rsid w:val="00D86462"/>
    <w:rsid w:val="00D864A1"/>
    <w:rsid w:val="00D86723"/>
    <w:rsid w:val="00D86AA8"/>
    <w:rsid w:val="00D86FCF"/>
    <w:rsid w:val="00D8759F"/>
    <w:rsid w:val="00D90AC0"/>
    <w:rsid w:val="00D90E70"/>
    <w:rsid w:val="00D919B4"/>
    <w:rsid w:val="00D92ADA"/>
    <w:rsid w:val="00D936C2"/>
    <w:rsid w:val="00D93960"/>
    <w:rsid w:val="00D93DC5"/>
    <w:rsid w:val="00D94243"/>
    <w:rsid w:val="00D94FF1"/>
    <w:rsid w:val="00D952DB"/>
    <w:rsid w:val="00D95C3E"/>
    <w:rsid w:val="00D95EEC"/>
    <w:rsid w:val="00D9655B"/>
    <w:rsid w:val="00DA19E8"/>
    <w:rsid w:val="00DA19FB"/>
    <w:rsid w:val="00DA2A24"/>
    <w:rsid w:val="00DA3141"/>
    <w:rsid w:val="00DA3A1E"/>
    <w:rsid w:val="00DA42EC"/>
    <w:rsid w:val="00DA4641"/>
    <w:rsid w:val="00DA636A"/>
    <w:rsid w:val="00DA65D6"/>
    <w:rsid w:val="00DA7BE1"/>
    <w:rsid w:val="00DB00EB"/>
    <w:rsid w:val="00DB1BE7"/>
    <w:rsid w:val="00DB1C8E"/>
    <w:rsid w:val="00DB2366"/>
    <w:rsid w:val="00DB327C"/>
    <w:rsid w:val="00DB337A"/>
    <w:rsid w:val="00DB388A"/>
    <w:rsid w:val="00DB3A98"/>
    <w:rsid w:val="00DB3F51"/>
    <w:rsid w:val="00DB5459"/>
    <w:rsid w:val="00DB545B"/>
    <w:rsid w:val="00DB5A08"/>
    <w:rsid w:val="00DB705B"/>
    <w:rsid w:val="00DB798A"/>
    <w:rsid w:val="00DC01B3"/>
    <w:rsid w:val="00DC0C91"/>
    <w:rsid w:val="00DC10A8"/>
    <w:rsid w:val="00DC2844"/>
    <w:rsid w:val="00DC33B1"/>
    <w:rsid w:val="00DC3C18"/>
    <w:rsid w:val="00DC442D"/>
    <w:rsid w:val="00DC624B"/>
    <w:rsid w:val="00DC63BB"/>
    <w:rsid w:val="00DC63C8"/>
    <w:rsid w:val="00DC67E1"/>
    <w:rsid w:val="00DC7565"/>
    <w:rsid w:val="00DC7B62"/>
    <w:rsid w:val="00DC7F9F"/>
    <w:rsid w:val="00DD05B1"/>
    <w:rsid w:val="00DD0633"/>
    <w:rsid w:val="00DD2419"/>
    <w:rsid w:val="00DD4279"/>
    <w:rsid w:val="00DD4782"/>
    <w:rsid w:val="00DD4E44"/>
    <w:rsid w:val="00DD640B"/>
    <w:rsid w:val="00DE0E8E"/>
    <w:rsid w:val="00DE1466"/>
    <w:rsid w:val="00DE146C"/>
    <w:rsid w:val="00DE25BD"/>
    <w:rsid w:val="00DE30F5"/>
    <w:rsid w:val="00DE3B3D"/>
    <w:rsid w:val="00DE3CFD"/>
    <w:rsid w:val="00DE43DE"/>
    <w:rsid w:val="00DE49E0"/>
    <w:rsid w:val="00DE4A4B"/>
    <w:rsid w:val="00DE512B"/>
    <w:rsid w:val="00DE5317"/>
    <w:rsid w:val="00DE5385"/>
    <w:rsid w:val="00DE5875"/>
    <w:rsid w:val="00DE6057"/>
    <w:rsid w:val="00DE644B"/>
    <w:rsid w:val="00DE6887"/>
    <w:rsid w:val="00DE7164"/>
    <w:rsid w:val="00DE7C45"/>
    <w:rsid w:val="00DE7D57"/>
    <w:rsid w:val="00DF0746"/>
    <w:rsid w:val="00DF0F33"/>
    <w:rsid w:val="00DF103E"/>
    <w:rsid w:val="00DF1B4E"/>
    <w:rsid w:val="00DF2C59"/>
    <w:rsid w:val="00DF3F2D"/>
    <w:rsid w:val="00DF4F2D"/>
    <w:rsid w:val="00DF5C83"/>
    <w:rsid w:val="00DF6298"/>
    <w:rsid w:val="00DF76C0"/>
    <w:rsid w:val="00E00112"/>
    <w:rsid w:val="00E00B79"/>
    <w:rsid w:val="00E00B94"/>
    <w:rsid w:val="00E00BA4"/>
    <w:rsid w:val="00E00D73"/>
    <w:rsid w:val="00E00ED2"/>
    <w:rsid w:val="00E017E8"/>
    <w:rsid w:val="00E01FB4"/>
    <w:rsid w:val="00E01FE6"/>
    <w:rsid w:val="00E0283D"/>
    <w:rsid w:val="00E0361F"/>
    <w:rsid w:val="00E03B8B"/>
    <w:rsid w:val="00E042BC"/>
    <w:rsid w:val="00E04432"/>
    <w:rsid w:val="00E046AB"/>
    <w:rsid w:val="00E05405"/>
    <w:rsid w:val="00E05987"/>
    <w:rsid w:val="00E05D9B"/>
    <w:rsid w:val="00E06150"/>
    <w:rsid w:val="00E06ED7"/>
    <w:rsid w:val="00E07172"/>
    <w:rsid w:val="00E076FC"/>
    <w:rsid w:val="00E077AC"/>
    <w:rsid w:val="00E079ED"/>
    <w:rsid w:val="00E11537"/>
    <w:rsid w:val="00E1158A"/>
    <w:rsid w:val="00E11C2D"/>
    <w:rsid w:val="00E11E89"/>
    <w:rsid w:val="00E125ED"/>
    <w:rsid w:val="00E1280E"/>
    <w:rsid w:val="00E133CF"/>
    <w:rsid w:val="00E13EF2"/>
    <w:rsid w:val="00E147DF"/>
    <w:rsid w:val="00E1497E"/>
    <w:rsid w:val="00E152AB"/>
    <w:rsid w:val="00E169AC"/>
    <w:rsid w:val="00E21659"/>
    <w:rsid w:val="00E2173A"/>
    <w:rsid w:val="00E21789"/>
    <w:rsid w:val="00E217C4"/>
    <w:rsid w:val="00E22A7E"/>
    <w:rsid w:val="00E22E84"/>
    <w:rsid w:val="00E230D6"/>
    <w:rsid w:val="00E232A2"/>
    <w:rsid w:val="00E2338E"/>
    <w:rsid w:val="00E24A5C"/>
    <w:rsid w:val="00E24C09"/>
    <w:rsid w:val="00E260A3"/>
    <w:rsid w:val="00E262C3"/>
    <w:rsid w:val="00E26327"/>
    <w:rsid w:val="00E26C73"/>
    <w:rsid w:val="00E270AF"/>
    <w:rsid w:val="00E27120"/>
    <w:rsid w:val="00E300E3"/>
    <w:rsid w:val="00E302CC"/>
    <w:rsid w:val="00E3110E"/>
    <w:rsid w:val="00E313D8"/>
    <w:rsid w:val="00E31975"/>
    <w:rsid w:val="00E32174"/>
    <w:rsid w:val="00E327E3"/>
    <w:rsid w:val="00E32D67"/>
    <w:rsid w:val="00E33590"/>
    <w:rsid w:val="00E33672"/>
    <w:rsid w:val="00E33D19"/>
    <w:rsid w:val="00E33E0C"/>
    <w:rsid w:val="00E351CF"/>
    <w:rsid w:val="00E355AA"/>
    <w:rsid w:val="00E36673"/>
    <w:rsid w:val="00E366F2"/>
    <w:rsid w:val="00E37F9C"/>
    <w:rsid w:val="00E401BF"/>
    <w:rsid w:val="00E40443"/>
    <w:rsid w:val="00E405FF"/>
    <w:rsid w:val="00E40F65"/>
    <w:rsid w:val="00E419D8"/>
    <w:rsid w:val="00E41D3A"/>
    <w:rsid w:val="00E4284B"/>
    <w:rsid w:val="00E42F1A"/>
    <w:rsid w:val="00E4350F"/>
    <w:rsid w:val="00E43956"/>
    <w:rsid w:val="00E4439E"/>
    <w:rsid w:val="00E44A0C"/>
    <w:rsid w:val="00E44D88"/>
    <w:rsid w:val="00E45B67"/>
    <w:rsid w:val="00E45F69"/>
    <w:rsid w:val="00E46DB0"/>
    <w:rsid w:val="00E4779F"/>
    <w:rsid w:val="00E47D5E"/>
    <w:rsid w:val="00E5035C"/>
    <w:rsid w:val="00E50792"/>
    <w:rsid w:val="00E50FA4"/>
    <w:rsid w:val="00E511C7"/>
    <w:rsid w:val="00E514B5"/>
    <w:rsid w:val="00E515AE"/>
    <w:rsid w:val="00E5196F"/>
    <w:rsid w:val="00E52578"/>
    <w:rsid w:val="00E52B29"/>
    <w:rsid w:val="00E536D5"/>
    <w:rsid w:val="00E548AF"/>
    <w:rsid w:val="00E568FB"/>
    <w:rsid w:val="00E56B68"/>
    <w:rsid w:val="00E572F1"/>
    <w:rsid w:val="00E608B2"/>
    <w:rsid w:val="00E60C2E"/>
    <w:rsid w:val="00E61086"/>
    <w:rsid w:val="00E6138B"/>
    <w:rsid w:val="00E619D1"/>
    <w:rsid w:val="00E61C7F"/>
    <w:rsid w:val="00E61DD1"/>
    <w:rsid w:val="00E61EC3"/>
    <w:rsid w:val="00E625AC"/>
    <w:rsid w:val="00E6359C"/>
    <w:rsid w:val="00E64F5C"/>
    <w:rsid w:val="00E65171"/>
    <w:rsid w:val="00E65444"/>
    <w:rsid w:val="00E66737"/>
    <w:rsid w:val="00E67035"/>
    <w:rsid w:val="00E672F3"/>
    <w:rsid w:val="00E674E3"/>
    <w:rsid w:val="00E67836"/>
    <w:rsid w:val="00E70474"/>
    <w:rsid w:val="00E70A79"/>
    <w:rsid w:val="00E71CEB"/>
    <w:rsid w:val="00E71D46"/>
    <w:rsid w:val="00E71FF1"/>
    <w:rsid w:val="00E7275E"/>
    <w:rsid w:val="00E73B6B"/>
    <w:rsid w:val="00E74C37"/>
    <w:rsid w:val="00E74EC3"/>
    <w:rsid w:val="00E75032"/>
    <w:rsid w:val="00E75B17"/>
    <w:rsid w:val="00E75E13"/>
    <w:rsid w:val="00E763AD"/>
    <w:rsid w:val="00E77173"/>
    <w:rsid w:val="00E772A8"/>
    <w:rsid w:val="00E804C0"/>
    <w:rsid w:val="00E80AAD"/>
    <w:rsid w:val="00E80D5C"/>
    <w:rsid w:val="00E81C8A"/>
    <w:rsid w:val="00E827F3"/>
    <w:rsid w:val="00E82C95"/>
    <w:rsid w:val="00E8464D"/>
    <w:rsid w:val="00E84C69"/>
    <w:rsid w:val="00E8529E"/>
    <w:rsid w:val="00E85598"/>
    <w:rsid w:val="00E85C18"/>
    <w:rsid w:val="00E86FDC"/>
    <w:rsid w:val="00E87BAC"/>
    <w:rsid w:val="00E90259"/>
    <w:rsid w:val="00E90671"/>
    <w:rsid w:val="00E91545"/>
    <w:rsid w:val="00E922BA"/>
    <w:rsid w:val="00E92383"/>
    <w:rsid w:val="00E9246B"/>
    <w:rsid w:val="00E92946"/>
    <w:rsid w:val="00E9513F"/>
    <w:rsid w:val="00E96388"/>
    <w:rsid w:val="00E9738A"/>
    <w:rsid w:val="00E978CD"/>
    <w:rsid w:val="00EA0106"/>
    <w:rsid w:val="00EA0C20"/>
    <w:rsid w:val="00EA1BF6"/>
    <w:rsid w:val="00EA202B"/>
    <w:rsid w:val="00EA24D6"/>
    <w:rsid w:val="00EA30C5"/>
    <w:rsid w:val="00EA32C4"/>
    <w:rsid w:val="00EA3DD6"/>
    <w:rsid w:val="00EA6C50"/>
    <w:rsid w:val="00EA77EE"/>
    <w:rsid w:val="00EA7AEB"/>
    <w:rsid w:val="00EB1D8A"/>
    <w:rsid w:val="00EB1DDB"/>
    <w:rsid w:val="00EB1F43"/>
    <w:rsid w:val="00EB2876"/>
    <w:rsid w:val="00EB2C71"/>
    <w:rsid w:val="00EB2F50"/>
    <w:rsid w:val="00EB3781"/>
    <w:rsid w:val="00EB3B4A"/>
    <w:rsid w:val="00EB3B6E"/>
    <w:rsid w:val="00EB3FB0"/>
    <w:rsid w:val="00EB476C"/>
    <w:rsid w:val="00EB524C"/>
    <w:rsid w:val="00EB5EA7"/>
    <w:rsid w:val="00EB6322"/>
    <w:rsid w:val="00EB6A83"/>
    <w:rsid w:val="00EB7026"/>
    <w:rsid w:val="00EB7425"/>
    <w:rsid w:val="00EB7779"/>
    <w:rsid w:val="00EC02DC"/>
    <w:rsid w:val="00EC04CF"/>
    <w:rsid w:val="00EC0BEC"/>
    <w:rsid w:val="00EC1AFE"/>
    <w:rsid w:val="00EC2006"/>
    <w:rsid w:val="00EC230D"/>
    <w:rsid w:val="00EC2F67"/>
    <w:rsid w:val="00EC3F4E"/>
    <w:rsid w:val="00EC4104"/>
    <w:rsid w:val="00EC4157"/>
    <w:rsid w:val="00EC5A11"/>
    <w:rsid w:val="00ED00DA"/>
    <w:rsid w:val="00ED0619"/>
    <w:rsid w:val="00ED09C9"/>
    <w:rsid w:val="00ED0CD6"/>
    <w:rsid w:val="00ED1091"/>
    <w:rsid w:val="00ED123D"/>
    <w:rsid w:val="00ED1473"/>
    <w:rsid w:val="00ED295F"/>
    <w:rsid w:val="00ED29EE"/>
    <w:rsid w:val="00ED3395"/>
    <w:rsid w:val="00ED49B6"/>
    <w:rsid w:val="00ED4C0B"/>
    <w:rsid w:val="00ED507C"/>
    <w:rsid w:val="00ED523A"/>
    <w:rsid w:val="00ED5873"/>
    <w:rsid w:val="00ED5C39"/>
    <w:rsid w:val="00ED5F54"/>
    <w:rsid w:val="00ED66FF"/>
    <w:rsid w:val="00ED7CD1"/>
    <w:rsid w:val="00EE035B"/>
    <w:rsid w:val="00EE150B"/>
    <w:rsid w:val="00EE1A08"/>
    <w:rsid w:val="00EE2849"/>
    <w:rsid w:val="00EE2C42"/>
    <w:rsid w:val="00EE3090"/>
    <w:rsid w:val="00EE35AA"/>
    <w:rsid w:val="00EE4E2D"/>
    <w:rsid w:val="00EE4E67"/>
    <w:rsid w:val="00EE5FCC"/>
    <w:rsid w:val="00EE6DE2"/>
    <w:rsid w:val="00EE7043"/>
    <w:rsid w:val="00EF0754"/>
    <w:rsid w:val="00EF0BDB"/>
    <w:rsid w:val="00EF1812"/>
    <w:rsid w:val="00EF1946"/>
    <w:rsid w:val="00EF260D"/>
    <w:rsid w:val="00EF352A"/>
    <w:rsid w:val="00EF35FB"/>
    <w:rsid w:val="00EF380D"/>
    <w:rsid w:val="00EF3AA9"/>
    <w:rsid w:val="00EF433D"/>
    <w:rsid w:val="00EF5F52"/>
    <w:rsid w:val="00EF742C"/>
    <w:rsid w:val="00EF7FE4"/>
    <w:rsid w:val="00EF7FED"/>
    <w:rsid w:val="00F01058"/>
    <w:rsid w:val="00F031B7"/>
    <w:rsid w:val="00F031E8"/>
    <w:rsid w:val="00F032A7"/>
    <w:rsid w:val="00F032FB"/>
    <w:rsid w:val="00F03CF4"/>
    <w:rsid w:val="00F05E20"/>
    <w:rsid w:val="00F071EB"/>
    <w:rsid w:val="00F07F45"/>
    <w:rsid w:val="00F10A87"/>
    <w:rsid w:val="00F10B50"/>
    <w:rsid w:val="00F10D7B"/>
    <w:rsid w:val="00F10E33"/>
    <w:rsid w:val="00F11451"/>
    <w:rsid w:val="00F11D71"/>
    <w:rsid w:val="00F122E5"/>
    <w:rsid w:val="00F12599"/>
    <w:rsid w:val="00F1260D"/>
    <w:rsid w:val="00F12B65"/>
    <w:rsid w:val="00F12C6B"/>
    <w:rsid w:val="00F132E5"/>
    <w:rsid w:val="00F13FF0"/>
    <w:rsid w:val="00F141AC"/>
    <w:rsid w:val="00F147F6"/>
    <w:rsid w:val="00F162F5"/>
    <w:rsid w:val="00F1632B"/>
    <w:rsid w:val="00F16667"/>
    <w:rsid w:val="00F16DAC"/>
    <w:rsid w:val="00F17CEB"/>
    <w:rsid w:val="00F20AA1"/>
    <w:rsid w:val="00F20AFC"/>
    <w:rsid w:val="00F20FC5"/>
    <w:rsid w:val="00F21D5C"/>
    <w:rsid w:val="00F22312"/>
    <w:rsid w:val="00F22C51"/>
    <w:rsid w:val="00F23AB3"/>
    <w:rsid w:val="00F23F16"/>
    <w:rsid w:val="00F240B4"/>
    <w:rsid w:val="00F241D9"/>
    <w:rsid w:val="00F2481B"/>
    <w:rsid w:val="00F24C1D"/>
    <w:rsid w:val="00F25CFF"/>
    <w:rsid w:val="00F26DD8"/>
    <w:rsid w:val="00F27831"/>
    <w:rsid w:val="00F278E4"/>
    <w:rsid w:val="00F27DB3"/>
    <w:rsid w:val="00F3082E"/>
    <w:rsid w:val="00F30A3E"/>
    <w:rsid w:val="00F31282"/>
    <w:rsid w:val="00F312C2"/>
    <w:rsid w:val="00F31455"/>
    <w:rsid w:val="00F3192B"/>
    <w:rsid w:val="00F31A7C"/>
    <w:rsid w:val="00F32011"/>
    <w:rsid w:val="00F32D0F"/>
    <w:rsid w:val="00F338B0"/>
    <w:rsid w:val="00F33965"/>
    <w:rsid w:val="00F34952"/>
    <w:rsid w:val="00F34FC8"/>
    <w:rsid w:val="00F35610"/>
    <w:rsid w:val="00F359EC"/>
    <w:rsid w:val="00F359FE"/>
    <w:rsid w:val="00F362C9"/>
    <w:rsid w:val="00F36898"/>
    <w:rsid w:val="00F36B19"/>
    <w:rsid w:val="00F37BC6"/>
    <w:rsid w:val="00F4022C"/>
    <w:rsid w:val="00F410F6"/>
    <w:rsid w:val="00F413B2"/>
    <w:rsid w:val="00F41BB2"/>
    <w:rsid w:val="00F42543"/>
    <w:rsid w:val="00F4275E"/>
    <w:rsid w:val="00F42D90"/>
    <w:rsid w:val="00F42EF6"/>
    <w:rsid w:val="00F430F6"/>
    <w:rsid w:val="00F43A1B"/>
    <w:rsid w:val="00F43C2B"/>
    <w:rsid w:val="00F44165"/>
    <w:rsid w:val="00F44899"/>
    <w:rsid w:val="00F45254"/>
    <w:rsid w:val="00F45E6B"/>
    <w:rsid w:val="00F46418"/>
    <w:rsid w:val="00F46D78"/>
    <w:rsid w:val="00F50693"/>
    <w:rsid w:val="00F5088B"/>
    <w:rsid w:val="00F51652"/>
    <w:rsid w:val="00F52136"/>
    <w:rsid w:val="00F52796"/>
    <w:rsid w:val="00F53D82"/>
    <w:rsid w:val="00F53F6C"/>
    <w:rsid w:val="00F5404A"/>
    <w:rsid w:val="00F54C76"/>
    <w:rsid w:val="00F560F6"/>
    <w:rsid w:val="00F573FE"/>
    <w:rsid w:val="00F57AF0"/>
    <w:rsid w:val="00F57BAB"/>
    <w:rsid w:val="00F57BDE"/>
    <w:rsid w:val="00F60182"/>
    <w:rsid w:val="00F60C32"/>
    <w:rsid w:val="00F60F6B"/>
    <w:rsid w:val="00F61496"/>
    <w:rsid w:val="00F6152F"/>
    <w:rsid w:val="00F62014"/>
    <w:rsid w:val="00F62C87"/>
    <w:rsid w:val="00F64412"/>
    <w:rsid w:val="00F64E63"/>
    <w:rsid w:val="00F66589"/>
    <w:rsid w:val="00F674F6"/>
    <w:rsid w:val="00F675D6"/>
    <w:rsid w:val="00F67BC9"/>
    <w:rsid w:val="00F70B13"/>
    <w:rsid w:val="00F70B56"/>
    <w:rsid w:val="00F71095"/>
    <w:rsid w:val="00F716A6"/>
    <w:rsid w:val="00F71A82"/>
    <w:rsid w:val="00F7215E"/>
    <w:rsid w:val="00F723F0"/>
    <w:rsid w:val="00F739FC"/>
    <w:rsid w:val="00F73E65"/>
    <w:rsid w:val="00F74F4A"/>
    <w:rsid w:val="00F7541C"/>
    <w:rsid w:val="00F758CF"/>
    <w:rsid w:val="00F77862"/>
    <w:rsid w:val="00F77D2E"/>
    <w:rsid w:val="00F77FF7"/>
    <w:rsid w:val="00F806DB"/>
    <w:rsid w:val="00F80BD7"/>
    <w:rsid w:val="00F80D5D"/>
    <w:rsid w:val="00F81399"/>
    <w:rsid w:val="00F817DC"/>
    <w:rsid w:val="00F81AA6"/>
    <w:rsid w:val="00F81CAF"/>
    <w:rsid w:val="00F823FB"/>
    <w:rsid w:val="00F828EB"/>
    <w:rsid w:val="00F83346"/>
    <w:rsid w:val="00F83A1A"/>
    <w:rsid w:val="00F83A94"/>
    <w:rsid w:val="00F83D67"/>
    <w:rsid w:val="00F842AC"/>
    <w:rsid w:val="00F8486E"/>
    <w:rsid w:val="00F84AEC"/>
    <w:rsid w:val="00F85888"/>
    <w:rsid w:val="00F860A5"/>
    <w:rsid w:val="00F87AD0"/>
    <w:rsid w:val="00F90871"/>
    <w:rsid w:val="00F9150E"/>
    <w:rsid w:val="00F92285"/>
    <w:rsid w:val="00F92539"/>
    <w:rsid w:val="00F9276B"/>
    <w:rsid w:val="00F928EE"/>
    <w:rsid w:val="00F94D9E"/>
    <w:rsid w:val="00F94FE2"/>
    <w:rsid w:val="00F956DA"/>
    <w:rsid w:val="00F97368"/>
    <w:rsid w:val="00F976DD"/>
    <w:rsid w:val="00FA00DE"/>
    <w:rsid w:val="00FA0AFC"/>
    <w:rsid w:val="00FA1312"/>
    <w:rsid w:val="00FA1D82"/>
    <w:rsid w:val="00FA214F"/>
    <w:rsid w:val="00FA24F1"/>
    <w:rsid w:val="00FA2DEB"/>
    <w:rsid w:val="00FA2F19"/>
    <w:rsid w:val="00FA3D91"/>
    <w:rsid w:val="00FA4D2A"/>
    <w:rsid w:val="00FA50E1"/>
    <w:rsid w:val="00FA5ABB"/>
    <w:rsid w:val="00FA600D"/>
    <w:rsid w:val="00FA72F2"/>
    <w:rsid w:val="00FB0AC2"/>
    <w:rsid w:val="00FB18DB"/>
    <w:rsid w:val="00FB1A77"/>
    <w:rsid w:val="00FB2AD7"/>
    <w:rsid w:val="00FB2E8C"/>
    <w:rsid w:val="00FB3153"/>
    <w:rsid w:val="00FB31E4"/>
    <w:rsid w:val="00FB3867"/>
    <w:rsid w:val="00FB4373"/>
    <w:rsid w:val="00FB51A4"/>
    <w:rsid w:val="00FB56DB"/>
    <w:rsid w:val="00FB58CA"/>
    <w:rsid w:val="00FB59F4"/>
    <w:rsid w:val="00FB642C"/>
    <w:rsid w:val="00FB79C3"/>
    <w:rsid w:val="00FC0534"/>
    <w:rsid w:val="00FC171F"/>
    <w:rsid w:val="00FC2101"/>
    <w:rsid w:val="00FC2556"/>
    <w:rsid w:val="00FC2829"/>
    <w:rsid w:val="00FC2BBA"/>
    <w:rsid w:val="00FC2C66"/>
    <w:rsid w:val="00FC33F9"/>
    <w:rsid w:val="00FC4406"/>
    <w:rsid w:val="00FC48DA"/>
    <w:rsid w:val="00FC4C56"/>
    <w:rsid w:val="00FC4ECB"/>
    <w:rsid w:val="00FC52B7"/>
    <w:rsid w:val="00FC612E"/>
    <w:rsid w:val="00FC617E"/>
    <w:rsid w:val="00FC66DE"/>
    <w:rsid w:val="00FC6F34"/>
    <w:rsid w:val="00FC7B0D"/>
    <w:rsid w:val="00FD0159"/>
    <w:rsid w:val="00FD07C8"/>
    <w:rsid w:val="00FD0C71"/>
    <w:rsid w:val="00FD1ECE"/>
    <w:rsid w:val="00FD3361"/>
    <w:rsid w:val="00FD3655"/>
    <w:rsid w:val="00FD3667"/>
    <w:rsid w:val="00FD3EBF"/>
    <w:rsid w:val="00FD4585"/>
    <w:rsid w:val="00FD4B7F"/>
    <w:rsid w:val="00FD53C1"/>
    <w:rsid w:val="00FD5879"/>
    <w:rsid w:val="00FD6AAF"/>
    <w:rsid w:val="00FD6CB7"/>
    <w:rsid w:val="00FD77B9"/>
    <w:rsid w:val="00FD7CD7"/>
    <w:rsid w:val="00FE01CE"/>
    <w:rsid w:val="00FE058F"/>
    <w:rsid w:val="00FE06B4"/>
    <w:rsid w:val="00FE1604"/>
    <w:rsid w:val="00FE1B1C"/>
    <w:rsid w:val="00FE308B"/>
    <w:rsid w:val="00FE3859"/>
    <w:rsid w:val="00FE3A47"/>
    <w:rsid w:val="00FE4B41"/>
    <w:rsid w:val="00FE4B7A"/>
    <w:rsid w:val="00FE4BEF"/>
    <w:rsid w:val="00FE5E03"/>
    <w:rsid w:val="00FE686B"/>
    <w:rsid w:val="00FE7F50"/>
    <w:rsid w:val="00FF03B2"/>
    <w:rsid w:val="00FF19D8"/>
    <w:rsid w:val="00FF1C6F"/>
    <w:rsid w:val="00FF36FE"/>
    <w:rsid w:val="00FF4271"/>
    <w:rsid w:val="00FF4443"/>
    <w:rsid w:val="00FF47AE"/>
    <w:rsid w:val="00FF48DE"/>
    <w:rsid w:val="00FF4E0C"/>
    <w:rsid w:val="00FF519E"/>
    <w:rsid w:val="00FF535A"/>
    <w:rsid w:val="00FF6ECC"/>
    <w:rsid w:val="00FF6F79"/>
    <w:rsid w:val="011CB96F"/>
    <w:rsid w:val="011D16C3"/>
    <w:rsid w:val="01465CF3"/>
    <w:rsid w:val="0146E236"/>
    <w:rsid w:val="02185292"/>
    <w:rsid w:val="021ED755"/>
    <w:rsid w:val="03D07FE5"/>
    <w:rsid w:val="045F27FA"/>
    <w:rsid w:val="04A909B4"/>
    <w:rsid w:val="0517AA37"/>
    <w:rsid w:val="056D8AB0"/>
    <w:rsid w:val="05755889"/>
    <w:rsid w:val="058EF357"/>
    <w:rsid w:val="05FBC1E7"/>
    <w:rsid w:val="060FA517"/>
    <w:rsid w:val="062822E7"/>
    <w:rsid w:val="0665D700"/>
    <w:rsid w:val="072881FA"/>
    <w:rsid w:val="07B36C57"/>
    <w:rsid w:val="08630198"/>
    <w:rsid w:val="08650E1D"/>
    <w:rsid w:val="08AA0A35"/>
    <w:rsid w:val="08E3C657"/>
    <w:rsid w:val="08FD5510"/>
    <w:rsid w:val="09706E64"/>
    <w:rsid w:val="09F9F71E"/>
    <w:rsid w:val="0A36AEE3"/>
    <w:rsid w:val="0A6A3391"/>
    <w:rsid w:val="0A8A81CF"/>
    <w:rsid w:val="0A901101"/>
    <w:rsid w:val="0AB81843"/>
    <w:rsid w:val="0B0EFDE7"/>
    <w:rsid w:val="0B512DC0"/>
    <w:rsid w:val="0B8A8266"/>
    <w:rsid w:val="0C3124A7"/>
    <w:rsid w:val="0C68926A"/>
    <w:rsid w:val="0D018827"/>
    <w:rsid w:val="0D5E62F1"/>
    <w:rsid w:val="0DC808F9"/>
    <w:rsid w:val="0E1CE15F"/>
    <w:rsid w:val="0EC5F360"/>
    <w:rsid w:val="0EFF1534"/>
    <w:rsid w:val="0F27A7AB"/>
    <w:rsid w:val="0F724214"/>
    <w:rsid w:val="0FC7514E"/>
    <w:rsid w:val="1005E675"/>
    <w:rsid w:val="10453EC5"/>
    <w:rsid w:val="107F2142"/>
    <w:rsid w:val="10BAB090"/>
    <w:rsid w:val="10C06FB4"/>
    <w:rsid w:val="111E6C9F"/>
    <w:rsid w:val="11B51C73"/>
    <w:rsid w:val="1320CABF"/>
    <w:rsid w:val="13D3D206"/>
    <w:rsid w:val="13F89AB0"/>
    <w:rsid w:val="1457AF8E"/>
    <w:rsid w:val="145BD533"/>
    <w:rsid w:val="15186D5F"/>
    <w:rsid w:val="1622FABB"/>
    <w:rsid w:val="16522450"/>
    <w:rsid w:val="17161CA9"/>
    <w:rsid w:val="19302F73"/>
    <w:rsid w:val="19E744DA"/>
    <w:rsid w:val="1A3B8C60"/>
    <w:rsid w:val="1A522460"/>
    <w:rsid w:val="1A8555C5"/>
    <w:rsid w:val="1B33A475"/>
    <w:rsid w:val="1B865C2F"/>
    <w:rsid w:val="1C07BAE0"/>
    <w:rsid w:val="1C36FA26"/>
    <w:rsid w:val="1C4F5D4C"/>
    <w:rsid w:val="1D10A29C"/>
    <w:rsid w:val="1D168A45"/>
    <w:rsid w:val="1D4E5A72"/>
    <w:rsid w:val="1D5BB003"/>
    <w:rsid w:val="1DC3E590"/>
    <w:rsid w:val="1E12291D"/>
    <w:rsid w:val="1E39B4F4"/>
    <w:rsid w:val="1E3F8E35"/>
    <w:rsid w:val="1E6F46BE"/>
    <w:rsid w:val="1F2925FC"/>
    <w:rsid w:val="1F2F6F83"/>
    <w:rsid w:val="1F88D5E7"/>
    <w:rsid w:val="1F929CEA"/>
    <w:rsid w:val="2054D7FC"/>
    <w:rsid w:val="207CCB4B"/>
    <w:rsid w:val="209C7866"/>
    <w:rsid w:val="21CD365E"/>
    <w:rsid w:val="2206FE56"/>
    <w:rsid w:val="22BECDEF"/>
    <w:rsid w:val="22FE6C4E"/>
    <w:rsid w:val="232560B4"/>
    <w:rsid w:val="239C4D4D"/>
    <w:rsid w:val="23B79024"/>
    <w:rsid w:val="24062BF3"/>
    <w:rsid w:val="241C0903"/>
    <w:rsid w:val="24A36BB5"/>
    <w:rsid w:val="24B0E8C3"/>
    <w:rsid w:val="24C5C86D"/>
    <w:rsid w:val="2580534D"/>
    <w:rsid w:val="25D31DEF"/>
    <w:rsid w:val="25D8848D"/>
    <w:rsid w:val="260C5783"/>
    <w:rsid w:val="26F9D495"/>
    <w:rsid w:val="2721AE6F"/>
    <w:rsid w:val="276CF2A5"/>
    <w:rsid w:val="27B34F63"/>
    <w:rsid w:val="281220FA"/>
    <w:rsid w:val="2876EC16"/>
    <w:rsid w:val="289F7C74"/>
    <w:rsid w:val="28F1396E"/>
    <w:rsid w:val="294BFE65"/>
    <w:rsid w:val="298E76B1"/>
    <w:rsid w:val="2A735F9D"/>
    <w:rsid w:val="2A8AE794"/>
    <w:rsid w:val="2A96B28F"/>
    <w:rsid w:val="2A9B6201"/>
    <w:rsid w:val="2AB3C36C"/>
    <w:rsid w:val="2ADBA97E"/>
    <w:rsid w:val="2AE59147"/>
    <w:rsid w:val="2AE7CEC6"/>
    <w:rsid w:val="2B093DC4"/>
    <w:rsid w:val="2B1BADE1"/>
    <w:rsid w:val="2C588533"/>
    <w:rsid w:val="2CBB0EE1"/>
    <w:rsid w:val="2D3C4617"/>
    <w:rsid w:val="2D744D24"/>
    <w:rsid w:val="2DE75FCC"/>
    <w:rsid w:val="2E29D8F7"/>
    <w:rsid w:val="2E83A12A"/>
    <w:rsid w:val="2E947A5A"/>
    <w:rsid w:val="2F3029A5"/>
    <w:rsid w:val="2F3EA866"/>
    <w:rsid w:val="2F798712"/>
    <w:rsid w:val="2FC877B0"/>
    <w:rsid w:val="301EEDE0"/>
    <w:rsid w:val="3029E65B"/>
    <w:rsid w:val="305587E9"/>
    <w:rsid w:val="30BE86C8"/>
    <w:rsid w:val="319CB197"/>
    <w:rsid w:val="31C1D92B"/>
    <w:rsid w:val="31E92D33"/>
    <w:rsid w:val="32142EC8"/>
    <w:rsid w:val="332DA0D5"/>
    <w:rsid w:val="334DB537"/>
    <w:rsid w:val="335E26E5"/>
    <w:rsid w:val="338EEF08"/>
    <w:rsid w:val="34301ADB"/>
    <w:rsid w:val="34A77C60"/>
    <w:rsid w:val="34CE38D5"/>
    <w:rsid w:val="34F5D38E"/>
    <w:rsid w:val="35032B56"/>
    <w:rsid w:val="35136EA8"/>
    <w:rsid w:val="3591F196"/>
    <w:rsid w:val="35E08338"/>
    <w:rsid w:val="36B20B4F"/>
    <w:rsid w:val="378CA036"/>
    <w:rsid w:val="379256E9"/>
    <w:rsid w:val="37AAEFBA"/>
    <w:rsid w:val="38541D56"/>
    <w:rsid w:val="39209832"/>
    <w:rsid w:val="3963D4CA"/>
    <w:rsid w:val="3A549802"/>
    <w:rsid w:val="3A81EF2B"/>
    <w:rsid w:val="3AEB9C6F"/>
    <w:rsid w:val="3B05ED61"/>
    <w:rsid w:val="3C0DBB32"/>
    <w:rsid w:val="3C2551CE"/>
    <w:rsid w:val="3C65D761"/>
    <w:rsid w:val="3C870083"/>
    <w:rsid w:val="3C954324"/>
    <w:rsid w:val="3CC8A581"/>
    <w:rsid w:val="3CF4D458"/>
    <w:rsid w:val="3D216A3F"/>
    <w:rsid w:val="3D312113"/>
    <w:rsid w:val="3E521266"/>
    <w:rsid w:val="3E58209A"/>
    <w:rsid w:val="41504303"/>
    <w:rsid w:val="41B895EF"/>
    <w:rsid w:val="41B8ABF0"/>
    <w:rsid w:val="41F8B63F"/>
    <w:rsid w:val="41F9CF82"/>
    <w:rsid w:val="41FDA2DF"/>
    <w:rsid w:val="420DC000"/>
    <w:rsid w:val="427EE2E6"/>
    <w:rsid w:val="42D4D2E9"/>
    <w:rsid w:val="42FBA748"/>
    <w:rsid w:val="4301764B"/>
    <w:rsid w:val="4356758A"/>
    <w:rsid w:val="444817EA"/>
    <w:rsid w:val="44541038"/>
    <w:rsid w:val="44B536E0"/>
    <w:rsid w:val="4501B14F"/>
    <w:rsid w:val="453B27CB"/>
    <w:rsid w:val="45478DB6"/>
    <w:rsid w:val="45F31F6D"/>
    <w:rsid w:val="466A92C0"/>
    <w:rsid w:val="471B3FCD"/>
    <w:rsid w:val="474E4E45"/>
    <w:rsid w:val="47B84432"/>
    <w:rsid w:val="48837B9C"/>
    <w:rsid w:val="48BBD20F"/>
    <w:rsid w:val="490B452D"/>
    <w:rsid w:val="4937E371"/>
    <w:rsid w:val="49619AC3"/>
    <w:rsid w:val="497E535E"/>
    <w:rsid w:val="49C19D2D"/>
    <w:rsid w:val="49D70277"/>
    <w:rsid w:val="49EBC424"/>
    <w:rsid w:val="4A17BB97"/>
    <w:rsid w:val="4A2B718D"/>
    <w:rsid w:val="4A4532CB"/>
    <w:rsid w:val="4BA2442B"/>
    <w:rsid w:val="4BD0BB34"/>
    <w:rsid w:val="4BFE7A34"/>
    <w:rsid w:val="4CC66FB3"/>
    <w:rsid w:val="4CD36270"/>
    <w:rsid w:val="4CF50DD2"/>
    <w:rsid w:val="4D610C3A"/>
    <w:rsid w:val="4D7040E7"/>
    <w:rsid w:val="4F3EBD9C"/>
    <w:rsid w:val="4FD97CB8"/>
    <w:rsid w:val="50601D86"/>
    <w:rsid w:val="5128B3C2"/>
    <w:rsid w:val="51636993"/>
    <w:rsid w:val="519EBA67"/>
    <w:rsid w:val="51F5DD23"/>
    <w:rsid w:val="524BC77E"/>
    <w:rsid w:val="52748E86"/>
    <w:rsid w:val="52E4DD00"/>
    <w:rsid w:val="533B778A"/>
    <w:rsid w:val="537D4B0C"/>
    <w:rsid w:val="53806E79"/>
    <w:rsid w:val="53BD91BC"/>
    <w:rsid w:val="53CA8325"/>
    <w:rsid w:val="54366BA1"/>
    <w:rsid w:val="54B93E6A"/>
    <w:rsid w:val="54FCDE5A"/>
    <w:rsid w:val="555E6C52"/>
    <w:rsid w:val="55666D03"/>
    <w:rsid w:val="55950052"/>
    <w:rsid w:val="559D8288"/>
    <w:rsid w:val="55B2E467"/>
    <w:rsid w:val="55CBD3B9"/>
    <w:rsid w:val="55F46A7A"/>
    <w:rsid w:val="56153315"/>
    <w:rsid w:val="562CC1C1"/>
    <w:rsid w:val="56640381"/>
    <w:rsid w:val="567CAAE7"/>
    <w:rsid w:val="569F1841"/>
    <w:rsid w:val="56D82D07"/>
    <w:rsid w:val="570EB2DE"/>
    <w:rsid w:val="57527DAC"/>
    <w:rsid w:val="5784D07A"/>
    <w:rsid w:val="57BEBD96"/>
    <w:rsid w:val="58598DC0"/>
    <w:rsid w:val="587E47DD"/>
    <w:rsid w:val="58F42530"/>
    <w:rsid w:val="58F5025D"/>
    <w:rsid w:val="595063B0"/>
    <w:rsid w:val="5952CD4D"/>
    <w:rsid w:val="595A8DF7"/>
    <w:rsid w:val="5970E8AB"/>
    <w:rsid w:val="59C9BA87"/>
    <w:rsid w:val="59F30041"/>
    <w:rsid w:val="5AF65E58"/>
    <w:rsid w:val="5B62B502"/>
    <w:rsid w:val="5BAB9913"/>
    <w:rsid w:val="5BD32456"/>
    <w:rsid w:val="5C5F8125"/>
    <w:rsid w:val="5C6A700F"/>
    <w:rsid w:val="5D03DFDD"/>
    <w:rsid w:val="5E0FB8D5"/>
    <w:rsid w:val="5E8D27B8"/>
    <w:rsid w:val="5F2D3D1C"/>
    <w:rsid w:val="5F5228EB"/>
    <w:rsid w:val="5F63063D"/>
    <w:rsid w:val="5F78DD90"/>
    <w:rsid w:val="608D13AC"/>
    <w:rsid w:val="609AF5D6"/>
    <w:rsid w:val="60F4C263"/>
    <w:rsid w:val="617C74F5"/>
    <w:rsid w:val="625DA68B"/>
    <w:rsid w:val="628FE3A8"/>
    <w:rsid w:val="63A22789"/>
    <w:rsid w:val="63CA28C0"/>
    <w:rsid w:val="63D553F1"/>
    <w:rsid w:val="649CE723"/>
    <w:rsid w:val="654FBC80"/>
    <w:rsid w:val="656D90B3"/>
    <w:rsid w:val="660BA58C"/>
    <w:rsid w:val="6681D562"/>
    <w:rsid w:val="66D617DF"/>
    <w:rsid w:val="66F324C6"/>
    <w:rsid w:val="68256AA0"/>
    <w:rsid w:val="6866AE60"/>
    <w:rsid w:val="6892EA86"/>
    <w:rsid w:val="689A7C57"/>
    <w:rsid w:val="689FBB9C"/>
    <w:rsid w:val="6B0B62BA"/>
    <w:rsid w:val="6B1C2565"/>
    <w:rsid w:val="6C1B4AA3"/>
    <w:rsid w:val="6C42ECC6"/>
    <w:rsid w:val="6D12D9A0"/>
    <w:rsid w:val="6D6A937F"/>
    <w:rsid w:val="6D71A27E"/>
    <w:rsid w:val="6DC20365"/>
    <w:rsid w:val="6DCC27C4"/>
    <w:rsid w:val="6E230FB9"/>
    <w:rsid w:val="6E566599"/>
    <w:rsid w:val="6E662D80"/>
    <w:rsid w:val="6E76A048"/>
    <w:rsid w:val="6EDFDA7F"/>
    <w:rsid w:val="6EE16C38"/>
    <w:rsid w:val="6F071AB4"/>
    <w:rsid w:val="6F3EAF87"/>
    <w:rsid w:val="6FEE6610"/>
    <w:rsid w:val="70870A1F"/>
    <w:rsid w:val="70E7F761"/>
    <w:rsid w:val="71334EBE"/>
    <w:rsid w:val="7138449E"/>
    <w:rsid w:val="71BD2AC4"/>
    <w:rsid w:val="71E9A3B1"/>
    <w:rsid w:val="7217AF1A"/>
    <w:rsid w:val="7297930D"/>
    <w:rsid w:val="73D4E359"/>
    <w:rsid w:val="7413A300"/>
    <w:rsid w:val="7428A6D2"/>
    <w:rsid w:val="74F01536"/>
    <w:rsid w:val="74FB8F47"/>
    <w:rsid w:val="75270956"/>
    <w:rsid w:val="753190EA"/>
    <w:rsid w:val="7555A2F5"/>
    <w:rsid w:val="757EE48E"/>
    <w:rsid w:val="758AFD39"/>
    <w:rsid w:val="75E2D474"/>
    <w:rsid w:val="76E33FD1"/>
    <w:rsid w:val="778EE12D"/>
    <w:rsid w:val="78781320"/>
    <w:rsid w:val="792D2452"/>
    <w:rsid w:val="79C8B8C5"/>
    <w:rsid w:val="7AC01315"/>
    <w:rsid w:val="7AD99FE7"/>
    <w:rsid w:val="7B6E678D"/>
    <w:rsid w:val="7B97AF05"/>
    <w:rsid w:val="7BD53B5B"/>
    <w:rsid w:val="7C089D4D"/>
    <w:rsid w:val="7C5E3969"/>
    <w:rsid w:val="7C8A924D"/>
    <w:rsid w:val="7D72B1DD"/>
    <w:rsid w:val="7D865689"/>
    <w:rsid w:val="7E5CDBEC"/>
    <w:rsid w:val="7E74BFD0"/>
    <w:rsid w:val="7EBE6AB4"/>
    <w:rsid w:val="7EF19C26"/>
    <w:rsid w:val="7F525A10"/>
    <w:rsid w:val="7F6052C8"/>
    <w:rsid w:val="7FC9F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8669"/>
  <w15:chartTrackingRefBased/>
  <w15:docId w15:val="{939B232B-3C22-45CC-AF55-D502AC5A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F33"/>
  </w:style>
  <w:style w:type="paragraph" w:styleId="Heading1">
    <w:name w:val="heading 1"/>
    <w:basedOn w:val="Normal"/>
    <w:next w:val="Normal"/>
    <w:link w:val="Heading1Char"/>
    <w:uiPriority w:val="9"/>
    <w:qFormat/>
    <w:rsid w:val="00346FFA"/>
    <w:pPr>
      <w:keepNext/>
      <w:keepLines/>
      <w:pBdr>
        <w:bottom w:val="single" w:sz="4" w:space="1" w:color="595959" w:themeColor="text1" w:themeTint="A6"/>
      </w:pBdr>
      <w:tabs>
        <w:tab w:val="num" w:pos="360"/>
      </w:tabs>
      <w:spacing w:before="360" w:after="200" w:line="276" w:lineRule="auto"/>
      <w:ind w:left="360" w:hanging="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346FFA"/>
    <w:pPr>
      <w:keepNext/>
      <w:keepLines/>
      <w:numPr>
        <w:ilvl w:val="1"/>
        <w:numId w:val="2"/>
      </w:numPr>
      <w:spacing w:before="360" w:after="0" w:line="276"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346FFA"/>
    <w:pPr>
      <w:keepNext/>
      <w:keepLines/>
      <w:numPr>
        <w:ilvl w:val="2"/>
        <w:numId w:val="2"/>
      </w:numPr>
      <w:spacing w:before="200" w:after="0" w:line="276" w:lineRule="auto"/>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346FFA"/>
    <w:pPr>
      <w:keepNext/>
      <w:keepLines/>
      <w:numPr>
        <w:ilvl w:val="3"/>
        <w:numId w:val="2"/>
      </w:numPr>
      <w:spacing w:before="200" w:after="0" w:line="276" w:lineRule="auto"/>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46FFA"/>
    <w:pPr>
      <w:keepNext/>
      <w:keepLines/>
      <w:numPr>
        <w:ilvl w:val="4"/>
        <w:numId w:val="2"/>
      </w:numPr>
      <w:spacing w:before="200" w:after="0" w:line="276" w:lineRule="auto"/>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346FFA"/>
    <w:pPr>
      <w:keepNext/>
      <w:keepLines/>
      <w:numPr>
        <w:ilvl w:val="5"/>
        <w:numId w:val="2"/>
      </w:numPr>
      <w:spacing w:before="200" w:after="0" w:line="276" w:lineRule="auto"/>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346FFA"/>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46FFA"/>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46FFA"/>
    <w:pPr>
      <w:keepNext/>
      <w:keepLines/>
      <w:tabs>
        <w:tab w:val="num" w:pos="360"/>
      </w:tabs>
      <w:spacing w:before="200" w:after="0" w:line="276" w:lineRule="auto"/>
      <w:ind w:left="360" w:hanging="3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FFA"/>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346FFA"/>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346FF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346FF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46FFA"/>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346FFA"/>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346FF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46F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46FFA"/>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346FFA"/>
    <w:rPr>
      <w:sz w:val="16"/>
      <w:szCs w:val="16"/>
    </w:rPr>
  </w:style>
  <w:style w:type="paragraph" w:styleId="CommentText">
    <w:name w:val="annotation text"/>
    <w:aliases w:val="Bubble Text"/>
    <w:basedOn w:val="Normal"/>
    <w:link w:val="CommentTextChar"/>
    <w:uiPriority w:val="99"/>
    <w:unhideWhenUsed/>
    <w:qFormat/>
    <w:rsid w:val="00346FFA"/>
    <w:pPr>
      <w:spacing w:after="200" w:line="240" w:lineRule="auto"/>
    </w:pPr>
    <w:rPr>
      <w:rFonts w:eastAsiaTheme="minorEastAsia"/>
      <w:sz w:val="20"/>
      <w:szCs w:val="20"/>
    </w:rPr>
  </w:style>
  <w:style w:type="character" w:customStyle="1" w:styleId="CommentTextChar">
    <w:name w:val="Comment Text Char"/>
    <w:aliases w:val="Bubble Text Char"/>
    <w:basedOn w:val="DefaultParagraphFont"/>
    <w:link w:val="CommentText"/>
    <w:uiPriority w:val="99"/>
    <w:rsid w:val="00346FFA"/>
    <w:rPr>
      <w:rFonts w:eastAsiaTheme="minorEastAsia"/>
      <w:sz w:val="20"/>
      <w:szCs w:val="20"/>
    </w:rPr>
  </w:style>
  <w:style w:type="character" w:styleId="Mention">
    <w:name w:val="Mention"/>
    <w:basedOn w:val="DefaultParagraphFont"/>
    <w:uiPriority w:val="99"/>
    <w:unhideWhenUsed/>
    <w:rsid w:val="00346FFA"/>
    <w:rPr>
      <w:color w:val="2B579A"/>
      <w:shd w:val="clear" w:color="auto" w:fill="E6E6E6"/>
    </w:rPr>
  </w:style>
  <w:style w:type="paragraph" w:styleId="ListParagraph">
    <w:name w:val="List Paragraph"/>
    <w:basedOn w:val="Normal"/>
    <w:uiPriority w:val="34"/>
    <w:qFormat/>
    <w:rsid w:val="000140FB"/>
    <w:pPr>
      <w:spacing w:after="200" w:line="276" w:lineRule="auto"/>
      <w:ind w:left="720"/>
      <w:contextualSpacing/>
    </w:pPr>
    <w:rPr>
      <w:rFonts w:eastAsiaTheme="minorEastAsia"/>
    </w:rPr>
  </w:style>
  <w:style w:type="paragraph" w:styleId="CommentSubject">
    <w:name w:val="annotation subject"/>
    <w:basedOn w:val="CommentText"/>
    <w:next w:val="CommentText"/>
    <w:link w:val="CommentSubjectChar"/>
    <w:uiPriority w:val="99"/>
    <w:semiHidden/>
    <w:unhideWhenUsed/>
    <w:rsid w:val="00A30222"/>
    <w:pPr>
      <w:spacing w:after="160"/>
    </w:pPr>
    <w:rPr>
      <w:rFonts w:eastAsiaTheme="minorHAnsi"/>
      <w:b/>
      <w:bCs/>
    </w:rPr>
  </w:style>
  <w:style w:type="character" w:customStyle="1" w:styleId="CommentSubjectChar">
    <w:name w:val="Comment Subject Char"/>
    <w:basedOn w:val="CommentTextChar"/>
    <w:link w:val="CommentSubject"/>
    <w:uiPriority w:val="99"/>
    <w:semiHidden/>
    <w:rsid w:val="00A30222"/>
    <w:rPr>
      <w:rFonts w:eastAsiaTheme="minorEastAsia"/>
      <w:b/>
      <w:bCs/>
      <w:sz w:val="20"/>
      <w:szCs w:val="20"/>
    </w:rPr>
  </w:style>
  <w:style w:type="character" w:styleId="UnresolvedMention">
    <w:name w:val="Unresolved Mention"/>
    <w:basedOn w:val="DefaultParagraphFont"/>
    <w:uiPriority w:val="99"/>
    <w:unhideWhenUsed/>
    <w:rsid w:val="00474D54"/>
    <w:rPr>
      <w:color w:val="605E5C"/>
      <w:shd w:val="clear" w:color="auto" w:fill="E1DFDD"/>
    </w:rPr>
  </w:style>
  <w:style w:type="character" w:styleId="Hyperlink">
    <w:name w:val="Hyperlink"/>
    <w:basedOn w:val="DefaultParagraphFont"/>
    <w:uiPriority w:val="99"/>
    <w:unhideWhenUsed/>
    <w:rsid w:val="00474D54"/>
    <w:rPr>
      <w:color w:val="0563C1" w:themeColor="hyperlink"/>
      <w:u w:val="single"/>
    </w:rPr>
  </w:style>
  <w:style w:type="paragraph" w:styleId="NormalWeb">
    <w:name w:val="Normal (Web)"/>
    <w:basedOn w:val="Normal"/>
    <w:uiPriority w:val="99"/>
    <w:semiHidden/>
    <w:unhideWhenUsed/>
    <w:rsid w:val="003A33F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rsid w:val="00501D43"/>
    <w:pPr>
      <w:tabs>
        <w:tab w:val="num" w:pos="360"/>
      </w:tabs>
      <w:spacing w:after="0" w:line="480" w:lineRule="auto"/>
      <w:ind w:left="360" w:hanging="360"/>
    </w:pPr>
    <w:rPr>
      <w:rFonts w:ascii="Times New Roman" w:eastAsia="Times New Roman" w:hAnsi="Times New Roman" w:cs="Times New Roman"/>
      <w:sz w:val="24"/>
      <w:szCs w:val="20"/>
    </w:rPr>
  </w:style>
  <w:style w:type="paragraph" w:styleId="Revision">
    <w:name w:val="Revision"/>
    <w:hidden/>
    <w:uiPriority w:val="99"/>
    <w:semiHidden/>
    <w:rsid w:val="00D7508A"/>
    <w:pPr>
      <w:spacing w:after="0" w:line="240" w:lineRule="auto"/>
    </w:pPr>
  </w:style>
  <w:style w:type="table" w:styleId="TableGrid">
    <w:name w:val="Table Grid"/>
    <w:basedOn w:val="TableNormal"/>
    <w:uiPriority w:val="39"/>
    <w:rsid w:val="00810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C308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08C5"/>
    <w:rPr>
      <w:i/>
      <w:iCs/>
    </w:rPr>
  </w:style>
  <w:style w:type="paragraph" w:customStyle="1" w:styleId="indent-2">
    <w:name w:val="indent-2"/>
    <w:basedOn w:val="Normal"/>
    <w:rsid w:val="00C30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C308C5"/>
  </w:style>
  <w:style w:type="character" w:customStyle="1" w:styleId="paren">
    <w:name w:val="paren"/>
    <w:basedOn w:val="DefaultParagraphFont"/>
    <w:rsid w:val="00C308C5"/>
  </w:style>
  <w:style w:type="paragraph" w:styleId="BalloonText">
    <w:name w:val="Balloon Text"/>
    <w:basedOn w:val="Normal"/>
    <w:link w:val="BalloonTextChar"/>
    <w:uiPriority w:val="99"/>
    <w:semiHidden/>
    <w:unhideWhenUsed/>
    <w:rsid w:val="006A6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061"/>
    <w:rPr>
      <w:rFonts w:ascii="Segoe UI" w:hAnsi="Segoe UI" w:cs="Segoe UI"/>
      <w:sz w:val="18"/>
      <w:szCs w:val="18"/>
    </w:rPr>
  </w:style>
  <w:style w:type="paragraph" w:styleId="Header">
    <w:name w:val="header"/>
    <w:basedOn w:val="Normal"/>
    <w:link w:val="HeaderChar"/>
    <w:uiPriority w:val="99"/>
    <w:unhideWhenUsed/>
    <w:qFormat/>
    <w:rsid w:val="00116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9A1"/>
  </w:style>
  <w:style w:type="paragraph" w:styleId="Footer">
    <w:name w:val="footer"/>
    <w:basedOn w:val="Normal"/>
    <w:link w:val="FooterChar"/>
    <w:uiPriority w:val="99"/>
    <w:unhideWhenUsed/>
    <w:rsid w:val="00116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9A1"/>
  </w:style>
  <w:style w:type="paragraph" w:styleId="FootnoteText">
    <w:name w:val="footnote text"/>
    <w:basedOn w:val="Normal"/>
    <w:link w:val="FootnoteTextChar"/>
    <w:uiPriority w:val="99"/>
    <w:semiHidden/>
    <w:unhideWhenUsed/>
    <w:rsid w:val="00F70B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B56"/>
    <w:rPr>
      <w:sz w:val="20"/>
      <w:szCs w:val="20"/>
    </w:rPr>
  </w:style>
  <w:style w:type="character" w:styleId="FootnoteReference">
    <w:name w:val="footnote reference"/>
    <w:basedOn w:val="DefaultParagraphFont"/>
    <w:uiPriority w:val="99"/>
    <w:semiHidden/>
    <w:unhideWhenUsed/>
    <w:rsid w:val="00F70B56"/>
    <w:rPr>
      <w:vertAlign w:val="superscript"/>
    </w:rPr>
  </w:style>
  <w:style w:type="paragraph" w:styleId="TOCHeading">
    <w:name w:val="TOC Heading"/>
    <w:basedOn w:val="Heading1"/>
    <w:next w:val="Normal"/>
    <w:uiPriority w:val="39"/>
    <w:unhideWhenUsed/>
    <w:qFormat/>
    <w:rsid w:val="00365572"/>
    <w:pPr>
      <w:pBdr>
        <w:bottom w:val="none" w:sz="0" w:space="0" w:color="auto"/>
      </w:pBdr>
      <w:tabs>
        <w:tab w:val="clear" w:pos="360"/>
      </w:tabs>
      <w:spacing w:before="240" w:after="0" w:line="259" w:lineRule="auto"/>
      <w:ind w:left="0" w:firstLine="0"/>
      <w:outlineLvl w:val="9"/>
    </w:pPr>
    <w:rPr>
      <w:b w:val="0"/>
      <w:bCs w:val="0"/>
      <w:smallCaps w:val="0"/>
      <w:color w:val="2F5496" w:themeColor="accent1" w:themeShade="BF"/>
      <w:sz w:val="32"/>
      <w:szCs w:val="32"/>
    </w:rPr>
  </w:style>
  <w:style w:type="paragraph" w:styleId="TOC2">
    <w:name w:val="toc 2"/>
    <w:basedOn w:val="Normal"/>
    <w:next w:val="Normal"/>
    <w:autoRedefine/>
    <w:uiPriority w:val="39"/>
    <w:unhideWhenUsed/>
    <w:rsid w:val="002A2F7C"/>
    <w:pPr>
      <w:tabs>
        <w:tab w:val="left" w:pos="660"/>
        <w:tab w:val="right" w:leader="dot" w:pos="9350"/>
      </w:tabs>
      <w:spacing w:after="100"/>
      <w:ind w:left="220"/>
    </w:pPr>
  </w:style>
  <w:style w:type="paragraph" w:styleId="TOC1">
    <w:name w:val="toc 1"/>
    <w:basedOn w:val="Normal"/>
    <w:next w:val="Normal"/>
    <w:autoRedefine/>
    <w:uiPriority w:val="39"/>
    <w:unhideWhenUsed/>
    <w:rsid w:val="00557895"/>
    <w:pPr>
      <w:tabs>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6408">
      <w:bodyDiv w:val="1"/>
      <w:marLeft w:val="0"/>
      <w:marRight w:val="0"/>
      <w:marTop w:val="0"/>
      <w:marBottom w:val="0"/>
      <w:divBdr>
        <w:top w:val="none" w:sz="0" w:space="0" w:color="auto"/>
        <w:left w:val="none" w:sz="0" w:space="0" w:color="auto"/>
        <w:bottom w:val="none" w:sz="0" w:space="0" w:color="auto"/>
        <w:right w:val="none" w:sz="0" w:space="0" w:color="auto"/>
      </w:divBdr>
      <w:divsChild>
        <w:div w:id="1068726707">
          <w:marLeft w:val="0"/>
          <w:marRight w:val="0"/>
          <w:marTop w:val="0"/>
          <w:marBottom w:val="0"/>
          <w:divBdr>
            <w:top w:val="none" w:sz="0" w:space="0" w:color="auto"/>
            <w:left w:val="none" w:sz="0" w:space="0" w:color="auto"/>
            <w:bottom w:val="none" w:sz="0" w:space="0" w:color="auto"/>
            <w:right w:val="none" w:sz="0" w:space="0" w:color="auto"/>
          </w:divBdr>
        </w:div>
      </w:divsChild>
    </w:div>
    <w:div w:id="142505437">
      <w:bodyDiv w:val="1"/>
      <w:marLeft w:val="0"/>
      <w:marRight w:val="0"/>
      <w:marTop w:val="0"/>
      <w:marBottom w:val="0"/>
      <w:divBdr>
        <w:top w:val="none" w:sz="0" w:space="0" w:color="auto"/>
        <w:left w:val="none" w:sz="0" w:space="0" w:color="auto"/>
        <w:bottom w:val="none" w:sz="0" w:space="0" w:color="auto"/>
        <w:right w:val="none" w:sz="0" w:space="0" w:color="auto"/>
      </w:divBdr>
      <w:divsChild>
        <w:div w:id="170267579">
          <w:marLeft w:val="0"/>
          <w:marRight w:val="30"/>
          <w:marTop w:val="0"/>
          <w:marBottom w:val="0"/>
          <w:divBdr>
            <w:top w:val="none" w:sz="0" w:space="0" w:color="auto"/>
            <w:left w:val="none" w:sz="0" w:space="0" w:color="auto"/>
            <w:bottom w:val="none" w:sz="0" w:space="0" w:color="auto"/>
            <w:right w:val="none" w:sz="0" w:space="0" w:color="auto"/>
          </w:divBdr>
          <w:divsChild>
            <w:div w:id="1462380747">
              <w:marLeft w:val="0"/>
              <w:marRight w:val="0"/>
              <w:marTop w:val="0"/>
              <w:marBottom w:val="0"/>
              <w:divBdr>
                <w:top w:val="none" w:sz="0" w:space="0" w:color="auto"/>
                <w:left w:val="none" w:sz="0" w:space="0" w:color="auto"/>
                <w:bottom w:val="none" w:sz="0" w:space="0" w:color="auto"/>
                <w:right w:val="none" w:sz="0" w:space="0" w:color="auto"/>
              </w:divBdr>
              <w:divsChild>
                <w:div w:id="495414939">
                  <w:marLeft w:val="0"/>
                  <w:marRight w:val="0"/>
                  <w:marTop w:val="0"/>
                  <w:marBottom w:val="0"/>
                  <w:divBdr>
                    <w:top w:val="none" w:sz="0" w:space="0" w:color="auto"/>
                    <w:left w:val="none" w:sz="0" w:space="0" w:color="auto"/>
                    <w:bottom w:val="none" w:sz="0" w:space="0" w:color="auto"/>
                    <w:right w:val="none" w:sz="0" w:space="0" w:color="auto"/>
                  </w:divBdr>
                  <w:divsChild>
                    <w:div w:id="6815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0398">
          <w:marLeft w:val="0"/>
          <w:marRight w:val="0"/>
          <w:marTop w:val="0"/>
          <w:marBottom w:val="0"/>
          <w:divBdr>
            <w:top w:val="none" w:sz="0" w:space="0" w:color="auto"/>
            <w:left w:val="none" w:sz="0" w:space="0" w:color="auto"/>
            <w:bottom w:val="none" w:sz="0" w:space="0" w:color="auto"/>
            <w:right w:val="none" w:sz="0" w:space="0" w:color="auto"/>
          </w:divBdr>
          <w:divsChild>
            <w:div w:id="1599019293">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195581843">
      <w:bodyDiv w:val="1"/>
      <w:marLeft w:val="0"/>
      <w:marRight w:val="0"/>
      <w:marTop w:val="0"/>
      <w:marBottom w:val="0"/>
      <w:divBdr>
        <w:top w:val="none" w:sz="0" w:space="0" w:color="auto"/>
        <w:left w:val="none" w:sz="0" w:space="0" w:color="auto"/>
        <w:bottom w:val="none" w:sz="0" w:space="0" w:color="auto"/>
        <w:right w:val="none" w:sz="0" w:space="0" w:color="auto"/>
      </w:divBdr>
      <w:divsChild>
        <w:div w:id="1350716348">
          <w:marLeft w:val="0"/>
          <w:marRight w:val="30"/>
          <w:marTop w:val="0"/>
          <w:marBottom w:val="0"/>
          <w:divBdr>
            <w:top w:val="none" w:sz="0" w:space="0" w:color="auto"/>
            <w:left w:val="none" w:sz="0" w:space="0" w:color="auto"/>
            <w:bottom w:val="none" w:sz="0" w:space="0" w:color="auto"/>
            <w:right w:val="none" w:sz="0" w:space="0" w:color="auto"/>
          </w:divBdr>
          <w:divsChild>
            <w:div w:id="1926910647">
              <w:marLeft w:val="0"/>
              <w:marRight w:val="0"/>
              <w:marTop w:val="0"/>
              <w:marBottom w:val="0"/>
              <w:divBdr>
                <w:top w:val="none" w:sz="0" w:space="0" w:color="auto"/>
                <w:left w:val="none" w:sz="0" w:space="0" w:color="auto"/>
                <w:bottom w:val="none" w:sz="0" w:space="0" w:color="auto"/>
                <w:right w:val="none" w:sz="0" w:space="0" w:color="auto"/>
              </w:divBdr>
              <w:divsChild>
                <w:div w:id="370955883">
                  <w:marLeft w:val="0"/>
                  <w:marRight w:val="0"/>
                  <w:marTop w:val="0"/>
                  <w:marBottom w:val="0"/>
                  <w:divBdr>
                    <w:top w:val="none" w:sz="0" w:space="0" w:color="auto"/>
                    <w:left w:val="none" w:sz="0" w:space="0" w:color="auto"/>
                    <w:bottom w:val="none" w:sz="0" w:space="0" w:color="auto"/>
                    <w:right w:val="none" w:sz="0" w:space="0" w:color="auto"/>
                  </w:divBdr>
                  <w:divsChild>
                    <w:div w:id="4569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8343">
          <w:marLeft w:val="0"/>
          <w:marRight w:val="0"/>
          <w:marTop w:val="0"/>
          <w:marBottom w:val="0"/>
          <w:divBdr>
            <w:top w:val="none" w:sz="0" w:space="0" w:color="auto"/>
            <w:left w:val="none" w:sz="0" w:space="0" w:color="auto"/>
            <w:bottom w:val="none" w:sz="0" w:space="0" w:color="auto"/>
            <w:right w:val="none" w:sz="0" w:space="0" w:color="auto"/>
          </w:divBdr>
          <w:divsChild>
            <w:div w:id="78211652">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243995686">
      <w:bodyDiv w:val="1"/>
      <w:marLeft w:val="0"/>
      <w:marRight w:val="0"/>
      <w:marTop w:val="0"/>
      <w:marBottom w:val="0"/>
      <w:divBdr>
        <w:top w:val="none" w:sz="0" w:space="0" w:color="auto"/>
        <w:left w:val="none" w:sz="0" w:space="0" w:color="auto"/>
        <w:bottom w:val="none" w:sz="0" w:space="0" w:color="auto"/>
        <w:right w:val="none" w:sz="0" w:space="0" w:color="auto"/>
      </w:divBdr>
    </w:div>
    <w:div w:id="407190130">
      <w:bodyDiv w:val="1"/>
      <w:marLeft w:val="0"/>
      <w:marRight w:val="0"/>
      <w:marTop w:val="0"/>
      <w:marBottom w:val="0"/>
      <w:divBdr>
        <w:top w:val="none" w:sz="0" w:space="0" w:color="auto"/>
        <w:left w:val="none" w:sz="0" w:space="0" w:color="auto"/>
        <w:bottom w:val="none" w:sz="0" w:space="0" w:color="auto"/>
        <w:right w:val="none" w:sz="0" w:space="0" w:color="auto"/>
      </w:divBdr>
      <w:divsChild>
        <w:div w:id="992682123">
          <w:marLeft w:val="0"/>
          <w:marRight w:val="0"/>
          <w:marTop w:val="0"/>
          <w:marBottom w:val="0"/>
          <w:divBdr>
            <w:top w:val="none" w:sz="0" w:space="0" w:color="auto"/>
            <w:left w:val="none" w:sz="0" w:space="0" w:color="auto"/>
            <w:bottom w:val="none" w:sz="0" w:space="0" w:color="auto"/>
            <w:right w:val="none" w:sz="0" w:space="0" w:color="auto"/>
          </w:divBdr>
        </w:div>
      </w:divsChild>
    </w:div>
    <w:div w:id="435952474">
      <w:bodyDiv w:val="1"/>
      <w:marLeft w:val="0"/>
      <w:marRight w:val="0"/>
      <w:marTop w:val="0"/>
      <w:marBottom w:val="0"/>
      <w:divBdr>
        <w:top w:val="none" w:sz="0" w:space="0" w:color="auto"/>
        <w:left w:val="none" w:sz="0" w:space="0" w:color="auto"/>
        <w:bottom w:val="none" w:sz="0" w:space="0" w:color="auto"/>
        <w:right w:val="none" w:sz="0" w:space="0" w:color="auto"/>
      </w:divBdr>
    </w:div>
    <w:div w:id="490869793">
      <w:bodyDiv w:val="1"/>
      <w:marLeft w:val="0"/>
      <w:marRight w:val="0"/>
      <w:marTop w:val="0"/>
      <w:marBottom w:val="0"/>
      <w:divBdr>
        <w:top w:val="none" w:sz="0" w:space="0" w:color="auto"/>
        <w:left w:val="none" w:sz="0" w:space="0" w:color="auto"/>
        <w:bottom w:val="none" w:sz="0" w:space="0" w:color="auto"/>
        <w:right w:val="none" w:sz="0" w:space="0" w:color="auto"/>
      </w:divBdr>
    </w:div>
    <w:div w:id="574703381">
      <w:bodyDiv w:val="1"/>
      <w:marLeft w:val="0"/>
      <w:marRight w:val="0"/>
      <w:marTop w:val="0"/>
      <w:marBottom w:val="0"/>
      <w:divBdr>
        <w:top w:val="none" w:sz="0" w:space="0" w:color="auto"/>
        <w:left w:val="none" w:sz="0" w:space="0" w:color="auto"/>
        <w:bottom w:val="none" w:sz="0" w:space="0" w:color="auto"/>
        <w:right w:val="none" w:sz="0" w:space="0" w:color="auto"/>
      </w:divBdr>
    </w:div>
    <w:div w:id="949165056">
      <w:bodyDiv w:val="1"/>
      <w:marLeft w:val="0"/>
      <w:marRight w:val="0"/>
      <w:marTop w:val="0"/>
      <w:marBottom w:val="0"/>
      <w:divBdr>
        <w:top w:val="none" w:sz="0" w:space="0" w:color="auto"/>
        <w:left w:val="none" w:sz="0" w:space="0" w:color="auto"/>
        <w:bottom w:val="none" w:sz="0" w:space="0" w:color="auto"/>
        <w:right w:val="none" w:sz="0" w:space="0" w:color="auto"/>
      </w:divBdr>
      <w:divsChild>
        <w:div w:id="1615868756">
          <w:marLeft w:val="0"/>
          <w:marRight w:val="0"/>
          <w:marTop w:val="0"/>
          <w:marBottom w:val="0"/>
          <w:divBdr>
            <w:top w:val="none" w:sz="0" w:space="0" w:color="auto"/>
            <w:left w:val="none" w:sz="0" w:space="0" w:color="auto"/>
            <w:bottom w:val="none" w:sz="0" w:space="0" w:color="auto"/>
            <w:right w:val="none" w:sz="0" w:space="0" w:color="auto"/>
          </w:divBdr>
        </w:div>
      </w:divsChild>
    </w:div>
    <w:div w:id="1134370721">
      <w:bodyDiv w:val="1"/>
      <w:marLeft w:val="0"/>
      <w:marRight w:val="0"/>
      <w:marTop w:val="0"/>
      <w:marBottom w:val="0"/>
      <w:divBdr>
        <w:top w:val="none" w:sz="0" w:space="0" w:color="auto"/>
        <w:left w:val="none" w:sz="0" w:space="0" w:color="auto"/>
        <w:bottom w:val="none" w:sz="0" w:space="0" w:color="auto"/>
        <w:right w:val="none" w:sz="0" w:space="0" w:color="auto"/>
      </w:divBdr>
    </w:div>
    <w:div w:id="1371420984">
      <w:bodyDiv w:val="1"/>
      <w:marLeft w:val="0"/>
      <w:marRight w:val="0"/>
      <w:marTop w:val="0"/>
      <w:marBottom w:val="0"/>
      <w:divBdr>
        <w:top w:val="none" w:sz="0" w:space="0" w:color="auto"/>
        <w:left w:val="none" w:sz="0" w:space="0" w:color="auto"/>
        <w:bottom w:val="none" w:sz="0" w:space="0" w:color="auto"/>
        <w:right w:val="none" w:sz="0" w:space="0" w:color="auto"/>
      </w:divBdr>
      <w:divsChild>
        <w:div w:id="112093774">
          <w:marLeft w:val="0"/>
          <w:marRight w:val="0"/>
          <w:marTop w:val="0"/>
          <w:marBottom w:val="0"/>
          <w:divBdr>
            <w:top w:val="none" w:sz="0" w:space="0" w:color="auto"/>
            <w:left w:val="none" w:sz="0" w:space="0" w:color="auto"/>
            <w:bottom w:val="none" w:sz="0" w:space="0" w:color="auto"/>
            <w:right w:val="none" w:sz="0" w:space="0" w:color="auto"/>
          </w:divBdr>
        </w:div>
        <w:div w:id="365178958">
          <w:marLeft w:val="0"/>
          <w:marRight w:val="0"/>
          <w:marTop w:val="0"/>
          <w:marBottom w:val="0"/>
          <w:divBdr>
            <w:top w:val="none" w:sz="0" w:space="0" w:color="auto"/>
            <w:left w:val="none" w:sz="0" w:space="0" w:color="auto"/>
            <w:bottom w:val="none" w:sz="0" w:space="0" w:color="auto"/>
            <w:right w:val="none" w:sz="0" w:space="0" w:color="auto"/>
          </w:divBdr>
          <w:divsChild>
            <w:div w:id="142815884">
              <w:marLeft w:val="0"/>
              <w:marRight w:val="0"/>
              <w:marTop w:val="0"/>
              <w:marBottom w:val="0"/>
              <w:divBdr>
                <w:top w:val="none" w:sz="0" w:space="0" w:color="auto"/>
                <w:left w:val="none" w:sz="0" w:space="0" w:color="auto"/>
                <w:bottom w:val="none" w:sz="0" w:space="0" w:color="auto"/>
                <w:right w:val="none" w:sz="0" w:space="0" w:color="auto"/>
              </w:divBdr>
            </w:div>
            <w:div w:id="409623425">
              <w:marLeft w:val="0"/>
              <w:marRight w:val="0"/>
              <w:marTop w:val="0"/>
              <w:marBottom w:val="0"/>
              <w:divBdr>
                <w:top w:val="none" w:sz="0" w:space="0" w:color="auto"/>
                <w:left w:val="none" w:sz="0" w:space="0" w:color="auto"/>
                <w:bottom w:val="none" w:sz="0" w:space="0" w:color="auto"/>
                <w:right w:val="none" w:sz="0" w:space="0" w:color="auto"/>
              </w:divBdr>
            </w:div>
            <w:div w:id="762534949">
              <w:marLeft w:val="0"/>
              <w:marRight w:val="0"/>
              <w:marTop w:val="0"/>
              <w:marBottom w:val="0"/>
              <w:divBdr>
                <w:top w:val="none" w:sz="0" w:space="0" w:color="auto"/>
                <w:left w:val="none" w:sz="0" w:space="0" w:color="auto"/>
                <w:bottom w:val="none" w:sz="0" w:space="0" w:color="auto"/>
                <w:right w:val="none" w:sz="0" w:space="0" w:color="auto"/>
              </w:divBdr>
            </w:div>
            <w:div w:id="1292126592">
              <w:marLeft w:val="0"/>
              <w:marRight w:val="0"/>
              <w:marTop w:val="0"/>
              <w:marBottom w:val="0"/>
              <w:divBdr>
                <w:top w:val="none" w:sz="0" w:space="0" w:color="auto"/>
                <w:left w:val="none" w:sz="0" w:space="0" w:color="auto"/>
                <w:bottom w:val="none" w:sz="0" w:space="0" w:color="auto"/>
                <w:right w:val="none" w:sz="0" w:space="0" w:color="auto"/>
              </w:divBdr>
            </w:div>
            <w:div w:id="1648589210">
              <w:marLeft w:val="0"/>
              <w:marRight w:val="0"/>
              <w:marTop w:val="0"/>
              <w:marBottom w:val="0"/>
              <w:divBdr>
                <w:top w:val="none" w:sz="0" w:space="0" w:color="auto"/>
                <w:left w:val="none" w:sz="0" w:space="0" w:color="auto"/>
                <w:bottom w:val="none" w:sz="0" w:space="0" w:color="auto"/>
                <w:right w:val="none" w:sz="0" w:space="0" w:color="auto"/>
              </w:divBdr>
            </w:div>
          </w:divsChild>
        </w:div>
        <w:div w:id="614556324">
          <w:marLeft w:val="0"/>
          <w:marRight w:val="0"/>
          <w:marTop w:val="0"/>
          <w:marBottom w:val="0"/>
          <w:divBdr>
            <w:top w:val="none" w:sz="0" w:space="0" w:color="auto"/>
            <w:left w:val="none" w:sz="0" w:space="0" w:color="auto"/>
            <w:bottom w:val="none" w:sz="0" w:space="0" w:color="auto"/>
            <w:right w:val="none" w:sz="0" w:space="0" w:color="auto"/>
          </w:divBdr>
        </w:div>
        <w:div w:id="1396854031">
          <w:marLeft w:val="0"/>
          <w:marRight w:val="0"/>
          <w:marTop w:val="0"/>
          <w:marBottom w:val="0"/>
          <w:divBdr>
            <w:top w:val="none" w:sz="0" w:space="0" w:color="auto"/>
            <w:left w:val="none" w:sz="0" w:space="0" w:color="auto"/>
            <w:bottom w:val="none" w:sz="0" w:space="0" w:color="auto"/>
            <w:right w:val="none" w:sz="0" w:space="0" w:color="auto"/>
          </w:divBdr>
        </w:div>
        <w:div w:id="1432121592">
          <w:marLeft w:val="0"/>
          <w:marRight w:val="0"/>
          <w:marTop w:val="0"/>
          <w:marBottom w:val="0"/>
          <w:divBdr>
            <w:top w:val="none" w:sz="0" w:space="0" w:color="auto"/>
            <w:left w:val="none" w:sz="0" w:space="0" w:color="auto"/>
            <w:bottom w:val="none" w:sz="0" w:space="0" w:color="auto"/>
            <w:right w:val="none" w:sz="0" w:space="0" w:color="auto"/>
          </w:divBdr>
        </w:div>
      </w:divsChild>
    </w:div>
    <w:div w:id="18894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tsca-cb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Miller, Kevin</DisplayName>
        <AccountId>9031</AccountId>
        <AccountType/>
      </UserInfo>
      <UserInfo>
        <DisplayName>Wallace, Ryan</DisplayName>
        <AccountId>733</AccountId>
        <AccountType/>
      </UserInfo>
      <UserInfo>
        <DisplayName>Myrick, Pamela</DisplayName>
        <AccountId>1458</AccountId>
        <AccountType/>
      </UserInfo>
      <UserInfo>
        <DisplayName>Sadowsky, Don (he/him/his)</DisplayName>
        <AccountId>1903</AccountId>
        <AccountType/>
      </UserInfo>
      <UserInfo>
        <DisplayName>Schwarz, Stephanie (she/her/hers)</DisplayName>
        <AccountId>10016</AccountId>
        <AccountType/>
      </UserInfo>
      <UserInfo>
        <DisplayName>Nguyen, Quoc</DisplayName>
        <AccountId>3592</AccountId>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4268</FRN_x0020_List_x0020_Item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85693-D61D-411C-B049-D0DD351FFCB9}">
  <ds:schemaRefs>
    <ds:schemaRef ds:uri="http://schemas.openxmlformats.org/officeDocument/2006/bibliography"/>
  </ds:schemaRefs>
</ds:datastoreItem>
</file>

<file path=customXml/itemProps2.xml><?xml version="1.0" encoding="utf-8"?>
<ds:datastoreItem xmlns:ds="http://schemas.openxmlformats.org/officeDocument/2006/customXml" ds:itemID="{E3C52918-85E2-42C3-9386-C4C83FE8EA41}">
  <ds:schemaRefs>
    <ds:schemaRef ds:uri="Microsoft.SharePoint.Taxonomy.ContentTypeSync"/>
  </ds:schemaRefs>
</ds:datastoreItem>
</file>

<file path=customXml/itemProps3.xml><?xml version="1.0" encoding="utf-8"?>
<ds:datastoreItem xmlns:ds="http://schemas.openxmlformats.org/officeDocument/2006/customXml" ds:itemID="{E64D5991-854C-47B7-BD18-C781EAED9B23}">
  <ds:schemaRefs>
    <ds:schemaRef ds:uri="http://purl.org/dc/terms/"/>
    <ds:schemaRef ds:uri="http://www.w3.org/XML/1998/namespace"/>
    <ds:schemaRef ds:uri="http://schemas.microsoft.com/sharepoint.v3"/>
    <ds:schemaRef ds:uri="4ffa91fb-a0ff-4ac5-b2db-65c790d184a4"/>
    <ds:schemaRef ds:uri="http://schemas.microsoft.com/office/infopath/2007/PartnerControls"/>
    <ds:schemaRef ds:uri="118f882f-1e32-4cf2-ad69-9de43d57f4c6"/>
    <ds:schemaRef ds:uri="http://schemas.microsoft.com/office/2006/documentManagement/types"/>
    <ds:schemaRef ds:uri="http://schemas.microsoft.com/office/2006/metadata/properties"/>
    <ds:schemaRef ds:uri="http://purl.org/dc/elements/1.1/"/>
    <ds:schemaRef ds:uri="a5d1ca4e-0a3f-4119-b619-e20b93ebd1aa"/>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EB2C6309-1A68-4544-9430-94B33A16E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8D2779-079D-4120-847D-3D06D2151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24389</Words>
  <Characters>139019</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163082</CharactersWithSpaces>
  <SharedDoc>false</SharedDoc>
  <HLinks>
    <vt:vector size="330" baseType="variant">
      <vt:variant>
        <vt:i4>5111821</vt:i4>
      </vt:variant>
      <vt:variant>
        <vt:i4>147</vt:i4>
      </vt:variant>
      <vt:variant>
        <vt:i4>0</vt:i4>
      </vt:variant>
      <vt:variant>
        <vt:i4>5</vt:i4>
      </vt:variant>
      <vt:variant>
        <vt:lpwstr>https://www.epa.gov/tsca-cbi</vt:lpwstr>
      </vt:variant>
      <vt:variant>
        <vt:lpwstr/>
      </vt:variant>
      <vt:variant>
        <vt:i4>1835066</vt:i4>
      </vt:variant>
      <vt:variant>
        <vt:i4>140</vt:i4>
      </vt:variant>
      <vt:variant>
        <vt:i4>0</vt:i4>
      </vt:variant>
      <vt:variant>
        <vt:i4>5</vt:i4>
      </vt:variant>
      <vt:variant>
        <vt:lpwstr/>
      </vt:variant>
      <vt:variant>
        <vt:lpwstr>_Toc125979990</vt:lpwstr>
      </vt:variant>
      <vt:variant>
        <vt:i4>1900602</vt:i4>
      </vt:variant>
      <vt:variant>
        <vt:i4>134</vt:i4>
      </vt:variant>
      <vt:variant>
        <vt:i4>0</vt:i4>
      </vt:variant>
      <vt:variant>
        <vt:i4>5</vt:i4>
      </vt:variant>
      <vt:variant>
        <vt:lpwstr/>
      </vt:variant>
      <vt:variant>
        <vt:lpwstr>_Toc125979989</vt:lpwstr>
      </vt:variant>
      <vt:variant>
        <vt:i4>1900602</vt:i4>
      </vt:variant>
      <vt:variant>
        <vt:i4>128</vt:i4>
      </vt:variant>
      <vt:variant>
        <vt:i4>0</vt:i4>
      </vt:variant>
      <vt:variant>
        <vt:i4>5</vt:i4>
      </vt:variant>
      <vt:variant>
        <vt:lpwstr/>
      </vt:variant>
      <vt:variant>
        <vt:lpwstr>_Toc125979988</vt:lpwstr>
      </vt:variant>
      <vt:variant>
        <vt:i4>1900602</vt:i4>
      </vt:variant>
      <vt:variant>
        <vt:i4>122</vt:i4>
      </vt:variant>
      <vt:variant>
        <vt:i4>0</vt:i4>
      </vt:variant>
      <vt:variant>
        <vt:i4>5</vt:i4>
      </vt:variant>
      <vt:variant>
        <vt:lpwstr/>
      </vt:variant>
      <vt:variant>
        <vt:lpwstr>_Toc125979987</vt:lpwstr>
      </vt:variant>
      <vt:variant>
        <vt:i4>1900602</vt:i4>
      </vt:variant>
      <vt:variant>
        <vt:i4>116</vt:i4>
      </vt:variant>
      <vt:variant>
        <vt:i4>0</vt:i4>
      </vt:variant>
      <vt:variant>
        <vt:i4>5</vt:i4>
      </vt:variant>
      <vt:variant>
        <vt:lpwstr/>
      </vt:variant>
      <vt:variant>
        <vt:lpwstr>_Toc125979986</vt:lpwstr>
      </vt:variant>
      <vt:variant>
        <vt:i4>1900602</vt:i4>
      </vt:variant>
      <vt:variant>
        <vt:i4>110</vt:i4>
      </vt:variant>
      <vt:variant>
        <vt:i4>0</vt:i4>
      </vt:variant>
      <vt:variant>
        <vt:i4>5</vt:i4>
      </vt:variant>
      <vt:variant>
        <vt:lpwstr/>
      </vt:variant>
      <vt:variant>
        <vt:lpwstr>_Toc125979985</vt:lpwstr>
      </vt:variant>
      <vt:variant>
        <vt:i4>1900602</vt:i4>
      </vt:variant>
      <vt:variant>
        <vt:i4>104</vt:i4>
      </vt:variant>
      <vt:variant>
        <vt:i4>0</vt:i4>
      </vt:variant>
      <vt:variant>
        <vt:i4>5</vt:i4>
      </vt:variant>
      <vt:variant>
        <vt:lpwstr/>
      </vt:variant>
      <vt:variant>
        <vt:lpwstr>_Toc125979984</vt:lpwstr>
      </vt:variant>
      <vt:variant>
        <vt:i4>1900602</vt:i4>
      </vt:variant>
      <vt:variant>
        <vt:i4>98</vt:i4>
      </vt:variant>
      <vt:variant>
        <vt:i4>0</vt:i4>
      </vt:variant>
      <vt:variant>
        <vt:i4>5</vt:i4>
      </vt:variant>
      <vt:variant>
        <vt:lpwstr/>
      </vt:variant>
      <vt:variant>
        <vt:lpwstr>_Toc125979983</vt:lpwstr>
      </vt:variant>
      <vt:variant>
        <vt:i4>1900602</vt:i4>
      </vt:variant>
      <vt:variant>
        <vt:i4>92</vt:i4>
      </vt:variant>
      <vt:variant>
        <vt:i4>0</vt:i4>
      </vt:variant>
      <vt:variant>
        <vt:i4>5</vt:i4>
      </vt:variant>
      <vt:variant>
        <vt:lpwstr/>
      </vt:variant>
      <vt:variant>
        <vt:lpwstr>_Toc125979982</vt:lpwstr>
      </vt:variant>
      <vt:variant>
        <vt:i4>1900602</vt:i4>
      </vt:variant>
      <vt:variant>
        <vt:i4>86</vt:i4>
      </vt:variant>
      <vt:variant>
        <vt:i4>0</vt:i4>
      </vt:variant>
      <vt:variant>
        <vt:i4>5</vt:i4>
      </vt:variant>
      <vt:variant>
        <vt:lpwstr/>
      </vt:variant>
      <vt:variant>
        <vt:lpwstr>_Toc125979981</vt:lpwstr>
      </vt:variant>
      <vt:variant>
        <vt:i4>1900602</vt:i4>
      </vt:variant>
      <vt:variant>
        <vt:i4>80</vt:i4>
      </vt:variant>
      <vt:variant>
        <vt:i4>0</vt:i4>
      </vt:variant>
      <vt:variant>
        <vt:i4>5</vt:i4>
      </vt:variant>
      <vt:variant>
        <vt:lpwstr/>
      </vt:variant>
      <vt:variant>
        <vt:lpwstr>_Toc125979980</vt:lpwstr>
      </vt:variant>
      <vt:variant>
        <vt:i4>1179706</vt:i4>
      </vt:variant>
      <vt:variant>
        <vt:i4>74</vt:i4>
      </vt:variant>
      <vt:variant>
        <vt:i4>0</vt:i4>
      </vt:variant>
      <vt:variant>
        <vt:i4>5</vt:i4>
      </vt:variant>
      <vt:variant>
        <vt:lpwstr/>
      </vt:variant>
      <vt:variant>
        <vt:lpwstr>_Toc125979979</vt:lpwstr>
      </vt:variant>
      <vt:variant>
        <vt:i4>1179706</vt:i4>
      </vt:variant>
      <vt:variant>
        <vt:i4>68</vt:i4>
      </vt:variant>
      <vt:variant>
        <vt:i4>0</vt:i4>
      </vt:variant>
      <vt:variant>
        <vt:i4>5</vt:i4>
      </vt:variant>
      <vt:variant>
        <vt:lpwstr/>
      </vt:variant>
      <vt:variant>
        <vt:lpwstr>_Toc125979978</vt:lpwstr>
      </vt:variant>
      <vt:variant>
        <vt:i4>1179706</vt:i4>
      </vt:variant>
      <vt:variant>
        <vt:i4>62</vt:i4>
      </vt:variant>
      <vt:variant>
        <vt:i4>0</vt:i4>
      </vt:variant>
      <vt:variant>
        <vt:i4>5</vt:i4>
      </vt:variant>
      <vt:variant>
        <vt:lpwstr/>
      </vt:variant>
      <vt:variant>
        <vt:lpwstr>_Toc125979977</vt:lpwstr>
      </vt:variant>
      <vt:variant>
        <vt:i4>1179706</vt:i4>
      </vt:variant>
      <vt:variant>
        <vt:i4>56</vt:i4>
      </vt:variant>
      <vt:variant>
        <vt:i4>0</vt:i4>
      </vt:variant>
      <vt:variant>
        <vt:i4>5</vt:i4>
      </vt:variant>
      <vt:variant>
        <vt:lpwstr/>
      </vt:variant>
      <vt:variant>
        <vt:lpwstr>_Toc125979976</vt:lpwstr>
      </vt:variant>
      <vt:variant>
        <vt:i4>1179706</vt:i4>
      </vt:variant>
      <vt:variant>
        <vt:i4>50</vt:i4>
      </vt:variant>
      <vt:variant>
        <vt:i4>0</vt:i4>
      </vt:variant>
      <vt:variant>
        <vt:i4>5</vt:i4>
      </vt:variant>
      <vt:variant>
        <vt:lpwstr/>
      </vt:variant>
      <vt:variant>
        <vt:lpwstr>_Toc125979975</vt:lpwstr>
      </vt:variant>
      <vt:variant>
        <vt:i4>1179706</vt:i4>
      </vt:variant>
      <vt:variant>
        <vt:i4>44</vt:i4>
      </vt:variant>
      <vt:variant>
        <vt:i4>0</vt:i4>
      </vt:variant>
      <vt:variant>
        <vt:i4>5</vt:i4>
      </vt:variant>
      <vt:variant>
        <vt:lpwstr/>
      </vt:variant>
      <vt:variant>
        <vt:lpwstr>_Toc125979974</vt:lpwstr>
      </vt:variant>
      <vt:variant>
        <vt:i4>1179706</vt:i4>
      </vt:variant>
      <vt:variant>
        <vt:i4>38</vt:i4>
      </vt:variant>
      <vt:variant>
        <vt:i4>0</vt:i4>
      </vt:variant>
      <vt:variant>
        <vt:i4>5</vt:i4>
      </vt:variant>
      <vt:variant>
        <vt:lpwstr/>
      </vt:variant>
      <vt:variant>
        <vt:lpwstr>_Toc125979973</vt:lpwstr>
      </vt:variant>
      <vt:variant>
        <vt:i4>1179706</vt:i4>
      </vt:variant>
      <vt:variant>
        <vt:i4>32</vt:i4>
      </vt:variant>
      <vt:variant>
        <vt:i4>0</vt:i4>
      </vt:variant>
      <vt:variant>
        <vt:i4>5</vt:i4>
      </vt:variant>
      <vt:variant>
        <vt:lpwstr/>
      </vt:variant>
      <vt:variant>
        <vt:lpwstr>_Toc125979972</vt:lpwstr>
      </vt:variant>
      <vt:variant>
        <vt:i4>1179706</vt:i4>
      </vt:variant>
      <vt:variant>
        <vt:i4>26</vt:i4>
      </vt:variant>
      <vt:variant>
        <vt:i4>0</vt:i4>
      </vt:variant>
      <vt:variant>
        <vt:i4>5</vt:i4>
      </vt:variant>
      <vt:variant>
        <vt:lpwstr/>
      </vt:variant>
      <vt:variant>
        <vt:lpwstr>_Toc125979971</vt:lpwstr>
      </vt:variant>
      <vt:variant>
        <vt:i4>1179706</vt:i4>
      </vt:variant>
      <vt:variant>
        <vt:i4>20</vt:i4>
      </vt:variant>
      <vt:variant>
        <vt:i4>0</vt:i4>
      </vt:variant>
      <vt:variant>
        <vt:i4>5</vt:i4>
      </vt:variant>
      <vt:variant>
        <vt:lpwstr/>
      </vt:variant>
      <vt:variant>
        <vt:lpwstr>_Toc125979970</vt:lpwstr>
      </vt:variant>
      <vt:variant>
        <vt:i4>1245242</vt:i4>
      </vt:variant>
      <vt:variant>
        <vt:i4>14</vt:i4>
      </vt:variant>
      <vt:variant>
        <vt:i4>0</vt:i4>
      </vt:variant>
      <vt:variant>
        <vt:i4>5</vt:i4>
      </vt:variant>
      <vt:variant>
        <vt:lpwstr/>
      </vt:variant>
      <vt:variant>
        <vt:lpwstr>_Toc125979969</vt:lpwstr>
      </vt:variant>
      <vt:variant>
        <vt:i4>1245242</vt:i4>
      </vt:variant>
      <vt:variant>
        <vt:i4>8</vt:i4>
      </vt:variant>
      <vt:variant>
        <vt:i4>0</vt:i4>
      </vt:variant>
      <vt:variant>
        <vt:i4>5</vt:i4>
      </vt:variant>
      <vt:variant>
        <vt:lpwstr/>
      </vt:variant>
      <vt:variant>
        <vt:lpwstr>_Toc125979968</vt:lpwstr>
      </vt:variant>
      <vt:variant>
        <vt:i4>1245242</vt:i4>
      </vt:variant>
      <vt:variant>
        <vt:i4>2</vt:i4>
      </vt:variant>
      <vt:variant>
        <vt:i4>0</vt:i4>
      </vt:variant>
      <vt:variant>
        <vt:i4>5</vt:i4>
      </vt:variant>
      <vt:variant>
        <vt:lpwstr/>
      </vt:variant>
      <vt:variant>
        <vt:lpwstr>_Toc125979967</vt:lpwstr>
      </vt:variant>
      <vt:variant>
        <vt:i4>5505070</vt:i4>
      </vt:variant>
      <vt:variant>
        <vt:i4>87</vt:i4>
      </vt:variant>
      <vt:variant>
        <vt:i4>0</vt:i4>
      </vt:variant>
      <vt:variant>
        <vt:i4>5</vt:i4>
      </vt:variant>
      <vt:variant>
        <vt:lpwstr>mailto:pisarick.marissa@epa.gov</vt:lpwstr>
      </vt:variant>
      <vt:variant>
        <vt:lpwstr/>
      </vt:variant>
      <vt:variant>
        <vt:i4>6291571</vt:i4>
      </vt:variant>
      <vt:variant>
        <vt:i4>84</vt:i4>
      </vt:variant>
      <vt:variant>
        <vt:i4>0</vt:i4>
      </vt:variant>
      <vt:variant>
        <vt:i4>5</vt:i4>
      </vt:variant>
      <vt:variant>
        <vt:lpwstr>https://www.epa.gov/chemicals-under-tsca/epa-publishes-thousands-additional-tsca-risk-new-chemicals-submissions-commits</vt:lpwstr>
      </vt:variant>
      <vt:variant>
        <vt:lpwstr/>
      </vt:variant>
      <vt:variant>
        <vt:i4>262271</vt:i4>
      </vt:variant>
      <vt:variant>
        <vt:i4>81</vt:i4>
      </vt:variant>
      <vt:variant>
        <vt:i4>0</vt:i4>
      </vt:variant>
      <vt:variant>
        <vt:i4>5</vt:i4>
      </vt:variant>
      <vt:variant>
        <vt:lpwstr>mailto:pickell.casey@epa.gov</vt:lpwstr>
      </vt:variant>
      <vt:variant>
        <vt:lpwstr/>
      </vt:variant>
      <vt:variant>
        <vt:i4>5832743</vt:i4>
      </vt:variant>
      <vt:variant>
        <vt:i4>78</vt:i4>
      </vt:variant>
      <vt:variant>
        <vt:i4>0</vt:i4>
      </vt:variant>
      <vt:variant>
        <vt:i4>5</vt:i4>
      </vt:variant>
      <vt:variant>
        <vt:lpwstr>mailto:Sadowsky.Don@epa.gov</vt:lpwstr>
      </vt:variant>
      <vt:variant>
        <vt:lpwstr/>
      </vt:variant>
      <vt:variant>
        <vt:i4>131199</vt:i4>
      </vt:variant>
      <vt:variant>
        <vt:i4>75</vt:i4>
      </vt:variant>
      <vt:variant>
        <vt:i4>0</vt:i4>
      </vt:variant>
      <vt:variant>
        <vt:i4>5</vt:i4>
      </vt:variant>
      <vt:variant>
        <vt:lpwstr>mailto:Schwarz.Stephanie@epa.gov</vt:lpwstr>
      </vt:variant>
      <vt:variant>
        <vt:lpwstr/>
      </vt:variant>
      <vt:variant>
        <vt:i4>5832743</vt:i4>
      </vt:variant>
      <vt:variant>
        <vt:i4>72</vt:i4>
      </vt:variant>
      <vt:variant>
        <vt:i4>0</vt:i4>
      </vt:variant>
      <vt:variant>
        <vt:i4>5</vt:i4>
      </vt:variant>
      <vt:variant>
        <vt:lpwstr>mailto:Sadowsky.Don@epa.gov</vt:lpwstr>
      </vt:variant>
      <vt:variant>
        <vt:lpwstr/>
      </vt:variant>
      <vt:variant>
        <vt:i4>262271</vt:i4>
      </vt:variant>
      <vt:variant>
        <vt:i4>69</vt:i4>
      </vt:variant>
      <vt:variant>
        <vt:i4>0</vt:i4>
      </vt:variant>
      <vt:variant>
        <vt:i4>5</vt:i4>
      </vt:variant>
      <vt:variant>
        <vt:lpwstr>mailto:pickell.casey@epa.gov</vt:lpwstr>
      </vt:variant>
      <vt:variant>
        <vt:lpwstr/>
      </vt:variant>
      <vt:variant>
        <vt:i4>262271</vt:i4>
      </vt:variant>
      <vt:variant>
        <vt:i4>66</vt:i4>
      </vt:variant>
      <vt:variant>
        <vt:i4>0</vt:i4>
      </vt:variant>
      <vt:variant>
        <vt:i4>5</vt:i4>
      </vt:variant>
      <vt:variant>
        <vt:lpwstr>mailto:pickell.casey@epa.gov</vt:lpwstr>
      </vt:variant>
      <vt:variant>
        <vt:lpwstr/>
      </vt:variant>
      <vt:variant>
        <vt:i4>3211349</vt:i4>
      </vt:variant>
      <vt:variant>
        <vt:i4>63</vt:i4>
      </vt:variant>
      <vt:variant>
        <vt:i4>0</vt:i4>
      </vt:variant>
      <vt:variant>
        <vt:i4>5</vt:i4>
      </vt:variant>
      <vt:variant>
        <vt:lpwstr>mailto:Nguyen.Quoc@epa.gov</vt:lpwstr>
      </vt:variant>
      <vt:variant>
        <vt:lpwstr/>
      </vt:variant>
      <vt:variant>
        <vt:i4>5505070</vt:i4>
      </vt:variant>
      <vt:variant>
        <vt:i4>60</vt:i4>
      </vt:variant>
      <vt:variant>
        <vt:i4>0</vt:i4>
      </vt:variant>
      <vt:variant>
        <vt:i4>5</vt:i4>
      </vt:variant>
      <vt:variant>
        <vt:lpwstr>mailto:pisarick.marissa@epa.gov</vt:lpwstr>
      </vt:variant>
      <vt:variant>
        <vt:lpwstr/>
      </vt:variant>
      <vt:variant>
        <vt:i4>3211349</vt:i4>
      </vt:variant>
      <vt:variant>
        <vt:i4>57</vt:i4>
      </vt:variant>
      <vt:variant>
        <vt:i4>0</vt:i4>
      </vt:variant>
      <vt:variant>
        <vt:i4>5</vt:i4>
      </vt:variant>
      <vt:variant>
        <vt:lpwstr>mailto:Nguyen.Quoc@epa.gov</vt:lpwstr>
      </vt:variant>
      <vt:variant>
        <vt:lpwstr/>
      </vt:variant>
      <vt:variant>
        <vt:i4>262271</vt:i4>
      </vt:variant>
      <vt:variant>
        <vt:i4>54</vt:i4>
      </vt:variant>
      <vt:variant>
        <vt:i4>0</vt:i4>
      </vt:variant>
      <vt:variant>
        <vt:i4>5</vt:i4>
      </vt:variant>
      <vt:variant>
        <vt:lpwstr>mailto:pickell.casey@epa.gov</vt:lpwstr>
      </vt:variant>
      <vt:variant>
        <vt:lpwstr/>
      </vt:variant>
      <vt:variant>
        <vt:i4>5832743</vt:i4>
      </vt:variant>
      <vt:variant>
        <vt:i4>51</vt:i4>
      </vt:variant>
      <vt:variant>
        <vt:i4>0</vt:i4>
      </vt:variant>
      <vt:variant>
        <vt:i4>5</vt:i4>
      </vt:variant>
      <vt:variant>
        <vt:lpwstr>mailto:Sadowsky.Don@epa.gov</vt:lpwstr>
      </vt:variant>
      <vt:variant>
        <vt:lpwstr/>
      </vt:variant>
      <vt:variant>
        <vt:i4>3211349</vt:i4>
      </vt:variant>
      <vt:variant>
        <vt:i4>48</vt:i4>
      </vt:variant>
      <vt:variant>
        <vt:i4>0</vt:i4>
      </vt:variant>
      <vt:variant>
        <vt:i4>5</vt:i4>
      </vt:variant>
      <vt:variant>
        <vt:lpwstr>mailto:Nguyen.Quoc@epa.gov</vt:lpwstr>
      </vt:variant>
      <vt:variant>
        <vt:lpwstr/>
      </vt:variant>
      <vt:variant>
        <vt:i4>262271</vt:i4>
      </vt:variant>
      <vt:variant>
        <vt:i4>45</vt:i4>
      </vt:variant>
      <vt:variant>
        <vt:i4>0</vt:i4>
      </vt:variant>
      <vt:variant>
        <vt:i4>5</vt:i4>
      </vt:variant>
      <vt:variant>
        <vt:lpwstr>mailto:pickell.casey@epa.gov</vt:lpwstr>
      </vt:variant>
      <vt:variant>
        <vt:lpwstr/>
      </vt:variant>
      <vt:variant>
        <vt:i4>131199</vt:i4>
      </vt:variant>
      <vt:variant>
        <vt:i4>42</vt:i4>
      </vt:variant>
      <vt:variant>
        <vt:i4>0</vt:i4>
      </vt:variant>
      <vt:variant>
        <vt:i4>5</vt:i4>
      </vt:variant>
      <vt:variant>
        <vt:lpwstr>mailto:Schwarz.Stephanie@epa.gov</vt:lpwstr>
      </vt:variant>
      <vt:variant>
        <vt:lpwstr/>
      </vt:variant>
      <vt:variant>
        <vt:i4>131199</vt:i4>
      </vt:variant>
      <vt:variant>
        <vt:i4>39</vt:i4>
      </vt:variant>
      <vt:variant>
        <vt:i4>0</vt:i4>
      </vt:variant>
      <vt:variant>
        <vt:i4>5</vt:i4>
      </vt:variant>
      <vt:variant>
        <vt:lpwstr>mailto:Schwarz.Stephanie@epa.gov</vt:lpwstr>
      </vt:variant>
      <vt:variant>
        <vt:lpwstr/>
      </vt:variant>
      <vt:variant>
        <vt:i4>5832743</vt:i4>
      </vt:variant>
      <vt:variant>
        <vt:i4>36</vt:i4>
      </vt:variant>
      <vt:variant>
        <vt:i4>0</vt:i4>
      </vt:variant>
      <vt:variant>
        <vt:i4>5</vt:i4>
      </vt:variant>
      <vt:variant>
        <vt:lpwstr>mailto:Sadowsky.Don@epa.gov</vt:lpwstr>
      </vt:variant>
      <vt:variant>
        <vt:lpwstr/>
      </vt:variant>
      <vt:variant>
        <vt:i4>3735617</vt:i4>
      </vt:variant>
      <vt:variant>
        <vt:i4>33</vt:i4>
      </vt:variant>
      <vt:variant>
        <vt:i4>0</vt:i4>
      </vt:variant>
      <vt:variant>
        <vt:i4>5</vt:i4>
      </vt:variant>
      <vt:variant>
        <vt:lpwstr>mailto:barkas.jessica@epa.gov</vt:lpwstr>
      </vt:variant>
      <vt:variant>
        <vt:lpwstr/>
      </vt:variant>
      <vt:variant>
        <vt:i4>262271</vt:i4>
      </vt:variant>
      <vt:variant>
        <vt:i4>30</vt:i4>
      </vt:variant>
      <vt:variant>
        <vt:i4>0</vt:i4>
      </vt:variant>
      <vt:variant>
        <vt:i4>5</vt:i4>
      </vt:variant>
      <vt:variant>
        <vt:lpwstr>mailto:pickell.casey@epa.gov</vt:lpwstr>
      </vt:variant>
      <vt:variant>
        <vt:lpwstr/>
      </vt:variant>
      <vt:variant>
        <vt:i4>5832743</vt:i4>
      </vt:variant>
      <vt:variant>
        <vt:i4>27</vt:i4>
      </vt:variant>
      <vt:variant>
        <vt:i4>0</vt:i4>
      </vt:variant>
      <vt:variant>
        <vt:i4>5</vt:i4>
      </vt:variant>
      <vt:variant>
        <vt:lpwstr>mailto:Sadowsky.Don@epa.gov</vt:lpwstr>
      </vt:variant>
      <vt:variant>
        <vt:lpwstr/>
      </vt:variant>
      <vt:variant>
        <vt:i4>131199</vt:i4>
      </vt:variant>
      <vt:variant>
        <vt:i4>24</vt:i4>
      </vt:variant>
      <vt:variant>
        <vt:i4>0</vt:i4>
      </vt:variant>
      <vt:variant>
        <vt:i4>5</vt:i4>
      </vt:variant>
      <vt:variant>
        <vt:lpwstr>mailto:Schwarz.Stephanie@epa.gov</vt:lpwstr>
      </vt:variant>
      <vt:variant>
        <vt:lpwstr/>
      </vt:variant>
      <vt:variant>
        <vt:i4>262271</vt:i4>
      </vt:variant>
      <vt:variant>
        <vt:i4>21</vt:i4>
      </vt:variant>
      <vt:variant>
        <vt:i4>0</vt:i4>
      </vt:variant>
      <vt:variant>
        <vt:i4>5</vt:i4>
      </vt:variant>
      <vt:variant>
        <vt:lpwstr>mailto:pickell.casey@epa.gov</vt:lpwstr>
      </vt:variant>
      <vt:variant>
        <vt:lpwstr/>
      </vt:variant>
      <vt:variant>
        <vt:i4>5177401</vt:i4>
      </vt:variant>
      <vt:variant>
        <vt:i4>18</vt:i4>
      </vt:variant>
      <vt:variant>
        <vt:i4>0</vt:i4>
      </vt:variant>
      <vt:variant>
        <vt:i4>5</vt:i4>
      </vt:variant>
      <vt:variant>
        <vt:lpwstr>mailto:Rodman.Sonja@epa.gov</vt:lpwstr>
      </vt:variant>
      <vt:variant>
        <vt:lpwstr/>
      </vt:variant>
      <vt:variant>
        <vt:i4>131199</vt:i4>
      </vt:variant>
      <vt:variant>
        <vt:i4>15</vt:i4>
      </vt:variant>
      <vt:variant>
        <vt:i4>0</vt:i4>
      </vt:variant>
      <vt:variant>
        <vt:i4>5</vt:i4>
      </vt:variant>
      <vt:variant>
        <vt:lpwstr>mailto:Schwarz.Stephanie@epa.gov</vt:lpwstr>
      </vt:variant>
      <vt:variant>
        <vt:lpwstr/>
      </vt:variant>
      <vt:variant>
        <vt:i4>262271</vt:i4>
      </vt:variant>
      <vt:variant>
        <vt:i4>12</vt:i4>
      </vt:variant>
      <vt:variant>
        <vt:i4>0</vt:i4>
      </vt:variant>
      <vt:variant>
        <vt:i4>5</vt:i4>
      </vt:variant>
      <vt:variant>
        <vt:lpwstr>mailto:pickell.casey@epa.gov</vt:lpwstr>
      </vt:variant>
      <vt:variant>
        <vt:lpwstr/>
      </vt:variant>
      <vt:variant>
        <vt:i4>5177401</vt:i4>
      </vt:variant>
      <vt:variant>
        <vt:i4>9</vt:i4>
      </vt:variant>
      <vt:variant>
        <vt:i4>0</vt:i4>
      </vt:variant>
      <vt:variant>
        <vt:i4>5</vt:i4>
      </vt:variant>
      <vt:variant>
        <vt:lpwstr>mailto:Rodman.Sonja@epa.gov</vt:lpwstr>
      </vt:variant>
      <vt:variant>
        <vt:lpwstr/>
      </vt:variant>
      <vt:variant>
        <vt:i4>131199</vt:i4>
      </vt:variant>
      <vt:variant>
        <vt:i4>6</vt:i4>
      </vt:variant>
      <vt:variant>
        <vt:i4>0</vt:i4>
      </vt:variant>
      <vt:variant>
        <vt:i4>5</vt:i4>
      </vt:variant>
      <vt:variant>
        <vt:lpwstr>mailto:Schwarz.Stephanie@epa.gov</vt:lpwstr>
      </vt:variant>
      <vt:variant>
        <vt:lpwstr/>
      </vt:variant>
      <vt:variant>
        <vt:i4>131199</vt:i4>
      </vt:variant>
      <vt:variant>
        <vt:i4>3</vt:i4>
      </vt:variant>
      <vt:variant>
        <vt:i4>0</vt:i4>
      </vt:variant>
      <vt:variant>
        <vt:i4>5</vt:i4>
      </vt:variant>
      <vt:variant>
        <vt:lpwstr>mailto:Schwarz.Stephanie@epa.gov</vt:lpwstr>
      </vt:variant>
      <vt:variant>
        <vt:lpwstr/>
      </vt:variant>
      <vt:variant>
        <vt:i4>131199</vt:i4>
      </vt:variant>
      <vt:variant>
        <vt:i4>0</vt:i4>
      </vt:variant>
      <vt:variant>
        <vt:i4>0</vt:i4>
      </vt:variant>
      <vt:variant>
        <vt:i4>5</vt:i4>
      </vt:variant>
      <vt:variant>
        <vt:lpwstr>mailto:Schwarz.Stephanie@epa.gov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Barkas</dc:creator>
  <cp:keywords/>
  <dc:description/>
  <cp:lastModifiedBy>Katherine Sleasman</cp:lastModifiedBy>
  <cp:revision>2</cp:revision>
  <dcterms:created xsi:type="dcterms:W3CDTF">2023-05-02T15:14:00Z</dcterms:created>
  <dcterms:modified xsi:type="dcterms:W3CDTF">2023-05-02T15:14:00Z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